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ascii="黑体" w:hAnsi="黑体" w:eastAsia="黑体" w:cs="黑体"/>
          <w:color w:val="000000"/>
          <w:sz w:val="44"/>
          <w:szCs w:val="44"/>
          <w:lang w:val="en-US" w:eastAsia="zh-CN"/>
        </w:rPr>
      </w:pPr>
      <w:r>
        <w:rPr>
          <w:rFonts w:hint="eastAsia" w:ascii="黑体" w:hAnsi="黑体" w:eastAsia="黑体" w:cs="黑体"/>
          <w:color w:val="000000"/>
          <w:sz w:val="44"/>
          <w:szCs w:val="44"/>
        </w:rPr>
        <w:t>学院</w:t>
      </w:r>
      <w:r>
        <w:rPr>
          <w:rFonts w:hint="eastAsia" w:ascii="黑体" w:hAnsi="黑体" w:eastAsia="黑体" w:cs="黑体"/>
          <w:color w:val="000000"/>
          <w:sz w:val="44"/>
          <w:szCs w:val="44"/>
          <w:lang w:val="en-US" w:eastAsia="zh-CN"/>
        </w:rPr>
        <w:t>官方网站</w:t>
      </w:r>
      <w:r>
        <w:rPr>
          <w:rFonts w:hint="eastAsia" w:ascii="黑体" w:hAnsi="黑体" w:eastAsia="黑体" w:cs="黑体"/>
          <w:color w:val="000000"/>
          <w:sz w:val="44"/>
          <w:szCs w:val="44"/>
        </w:rPr>
        <w:t>二级等保</w:t>
      </w:r>
      <w:r>
        <w:rPr>
          <w:rFonts w:hint="eastAsia" w:ascii="黑体" w:hAnsi="黑体" w:eastAsia="黑体" w:cs="黑体"/>
          <w:color w:val="000000"/>
          <w:sz w:val="44"/>
          <w:szCs w:val="44"/>
          <w:lang w:val="en-US" w:eastAsia="zh-CN"/>
        </w:rPr>
        <w:t>测评技术参数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ascii="黑体" w:hAnsi="黑体" w:eastAsia="黑体" w:cs="黑体"/>
          <w:color w:val="000000"/>
          <w:sz w:val="44"/>
          <w:szCs w:val="44"/>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为落实《网络安全法》及教育部相关要求，提升学院内部信息系统网络安全防护能力，确保信息系统合法合规运行，现对以下系统（详见测评服务范围）进行询价，具体要求如下：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一、项目核心要求</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依据《中华人民共和国网络安全法》、GB/T22239-2019、GB/T28448-2019、GB/T28449-2018及相关标准，开展学院内部信息系统网络安全等级保护测评。参与询价企业需具备公安部第三研究所颁发的《网络安全等级测评与检测评估机构服务认证证书》。</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二、测评服务范围</w:t>
      </w:r>
    </w:p>
    <w:tbl>
      <w:tblPr>
        <w:tblStyle w:val="4"/>
        <w:tblpPr w:leftFromText="180" w:rightFromText="180" w:vertAnchor="text" w:horzAnchor="page" w:tblpXSpec="center" w:tblpY="30"/>
        <w:tblOverlap w:val="never"/>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426"/>
        <w:gridCol w:w="1418"/>
        <w:gridCol w:w="1332"/>
        <w:gridCol w:w="641"/>
        <w:gridCol w:w="1124"/>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04" w:type="dxa"/>
            <w:shd w:val="clear" w:color="auto" w:fill="A5A5A5"/>
            <w:noWrap/>
            <w:vAlign w:val="center"/>
          </w:tcPr>
          <w:p>
            <w:pPr>
              <w:jc w:val="center"/>
              <w:rPr>
                <w:rFonts w:ascii="宋体" w:hAnsi="宋体" w:cs="仿宋_GB2312"/>
                <w:b/>
                <w:bCs/>
              </w:rPr>
            </w:pPr>
            <w:r>
              <w:rPr>
                <w:rFonts w:hint="eastAsia" w:ascii="宋体" w:hAnsi="宋体" w:cs="仿宋_GB2312"/>
                <w:b/>
                <w:bCs/>
              </w:rPr>
              <w:t>序号</w:t>
            </w:r>
          </w:p>
        </w:tc>
        <w:tc>
          <w:tcPr>
            <w:tcW w:w="2426" w:type="dxa"/>
            <w:shd w:val="clear" w:color="auto" w:fill="A5A5A5"/>
            <w:noWrap/>
            <w:vAlign w:val="center"/>
          </w:tcPr>
          <w:p>
            <w:pPr>
              <w:jc w:val="center"/>
              <w:rPr>
                <w:rFonts w:ascii="宋体" w:hAnsi="宋体" w:cs="仿宋_GB2312"/>
                <w:b/>
                <w:bCs/>
              </w:rPr>
            </w:pPr>
            <w:r>
              <w:rPr>
                <w:rFonts w:hint="eastAsia" w:ascii="宋体" w:hAnsi="宋体" w:cs="仿宋_GB2312"/>
                <w:b/>
                <w:bCs/>
                <w:lang w:val="en-US" w:eastAsia="zh-CN"/>
              </w:rPr>
              <w:t>系统</w:t>
            </w:r>
            <w:r>
              <w:rPr>
                <w:rFonts w:hint="eastAsia" w:ascii="宋体" w:hAnsi="宋体" w:cs="仿宋_GB2312"/>
                <w:b/>
                <w:bCs/>
              </w:rPr>
              <w:t>名称</w:t>
            </w:r>
          </w:p>
        </w:tc>
        <w:tc>
          <w:tcPr>
            <w:tcW w:w="1418" w:type="dxa"/>
            <w:shd w:val="clear" w:color="auto" w:fill="A5A5A5"/>
            <w:noWrap w:val="0"/>
            <w:vAlign w:val="center"/>
          </w:tcPr>
          <w:p>
            <w:pPr>
              <w:jc w:val="center"/>
              <w:rPr>
                <w:rFonts w:hint="default" w:ascii="宋体" w:hAnsi="宋体" w:eastAsia="宋体" w:cs="仿宋_GB2312"/>
                <w:b/>
                <w:bCs/>
                <w:lang w:val="en-US" w:eastAsia="zh-CN"/>
              </w:rPr>
            </w:pPr>
            <w:r>
              <w:rPr>
                <w:rFonts w:hint="eastAsia" w:ascii="宋体" w:hAnsi="宋体" w:cs="仿宋_GB2312"/>
                <w:b/>
                <w:bCs/>
                <w:lang w:val="en-US" w:eastAsia="zh-CN"/>
              </w:rPr>
              <w:t>安全等级</w:t>
            </w:r>
          </w:p>
        </w:tc>
        <w:tc>
          <w:tcPr>
            <w:tcW w:w="1332" w:type="dxa"/>
            <w:shd w:val="clear" w:color="auto" w:fill="A5A5A5"/>
            <w:noWrap w:val="0"/>
            <w:vAlign w:val="center"/>
          </w:tcPr>
          <w:p>
            <w:pPr>
              <w:jc w:val="center"/>
              <w:rPr>
                <w:rFonts w:hint="eastAsia" w:ascii="宋体" w:hAnsi="宋体" w:eastAsia="宋体" w:cs="仿宋_GB2312"/>
                <w:b/>
                <w:bCs/>
                <w:lang w:val="en-US" w:eastAsia="zh-CN"/>
              </w:rPr>
            </w:pPr>
            <w:r>
              <w:rPr>
                <w:rFonts w:hint="eastAsia" w:ascii="宋体" w:hAnsi="宋体" w:cs="仿宋_GB2312"/>
                <w:b/>
                <w:bCs/>
                <w:lang w:val="en-US" w:eastAsia="zh-CN"/>
              </w:rPr>
              <w:t>含税单价（元）</w:t>
            </w:r>
          </w:p>
        </w:tc>
        <w:tc>
          <w:tcPr>
            <w:tcW w:w="641" w:type="dxa"/>
            <w:shd w:val="clear" w:color="auto" w:fill="A5A5A5"/>
            <w:noWrap w:val="0"/>
            <w:vAlign w:val="center"/>
          </w:tcPr>
          <w:p>
            <w:pPr>
              <w:jc w:val="center"/>
              <w:rPr>
                <w:rFonts w:hint="eastAsia" w:ascii="宋体" w:hAnsi="宋体" w:eastAsia="宋体" w:cs="仿宋_GB2312"/>
                <w:b/>
                <w:bCs/>
                <w:kern w:val="2"/>
                <w:sz w:val="21"/>
                <w:szCs w:val="24"/>
                <w:lang w:val="en-US" w:eastAsia="zh-CN" w:bidi="ar-SA"/>
              </w:rPr>
            </w:pPr>
            <w:r>
              <w:rPr>
                <w:rFonts w:hint="eastAsia" w:ascii="宋体" w:hAnsi="宋体" w:cs="仿宋_GB2312"/>
                <w:b/>
                <w:bCs/>
                <w:lang w:val="en-US" w:eastAsia="zh-CN"/>
              </w:rPr>
              <w:t>数量</w:t>
            </w:r>
          </w:p>
        </w:tc>
        <w:tc>
          <w:tcPr>
            <w:tcW w:w="1124" w:type="dxa"/>
            <w:shd w:val="clear" w:color="auto" w:fill="A5A5A5"/>
            <w:noWrap w:val="0"/>
            <w:vAlign w:val="center"/>
          </w:tcPr>
          <w:p>
            <w:pPr>
              <w:jc w:val="center"/>
              <w:rPr>
                <w:rFonts w:hint="eastAsia" w:ascii="宋体" w:hAnsi="宋体" w:cs="仿宋_GB2312"/>
                <w:b/>
                <w:bCs/>
                <w:lang w:val="en-US" w:eastAsia="zh-CN"/>
              </w:rPr>
            </w:pPr>
            <w:r>
              <w:rPr>
                <w:rFonts w:hint="eastAsia" w:ascii="宋体" w:hAnsi="宋体" w:cs="仿宋_GB2312"/>
                <w:b/>
                <w:bCs/>
                <w:lang w:val="en-US" w:eastAsia="zh-CN"/>
              </w:rPr>
              <w:t>含税合价（元）</w:t>
            </w:r>
          </w:p>
        </w:tc>
        <w:tc>
          <w:tcPr>
            <w:tcW w:w="1632" w:type="dxa"/>
            <w:shd w:val="clear" w:color="auto" w:fill="A5A5A5"/>
            <w:noWrap w:val="0"/>
            <w:vAlign w:val="center"/>
          </w:tcPr>
          <w:p>
            <w:pPr>
              <w:jc w:val="center"/>
              <w:rPr>
                <w:rFonts w:hint="default" w:ascii="宋体" w:hAnsi="宋体" w:cs="仿宋_GB2312"/>
                <w:b/>
                <w:bCs/>
                <w:lang w:val="en-US" w:eastAsia="zh-CN"/>
              </w:rPr>
            </w:pPr>
            <w:r>
              <w:rPr>
                <w:rFonts w:hint="eastAsia" w:ascii="宋体" w:hAnsi="宋体" w:cs="仿宋_GB2312"/>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04" w:type="dxa"/>
            <w:noWrap/>
            <w:vAlign w:val="center"/>
          </w:tcPr>
          <w:p>
            <w:pPr>
              <w:jc w:val="center"/>
              <w:rPr>
                <w:rFonts w:ascii="宋体" w:hAnsi="宋体" w:cs="仿宋_GB2312"/>
              </w:rPr>
            </w:pPr>
            <w:r>
              <w:rPr>
                <w:rFonts w:hint="eastAsia" w:ascii="宋体" w:hAnsi="宋体" w:cs="仿宋_GB2312"/>
              </w:rPr>
              <w:t>1</w:t>
            </w:r>
          </w:p>
        </w:tc>
        <w:tc>
          <w:tcPr>
            <w:tcW w:w="2426" w:type="dxa"/>
            <w:noWrap/>
            <w:vAlign w:val="center"/>
          </w:tcPr>
          <w:p>
            <w:pPr>
              <w:jc w:val="center"/>
              <w:rPr>
                <w:rFonts w:hint="default" w:ascii="宋体" w:hAnsi="宋体" w:eastAsia="宋体" w:cs="仿宋_GB2312"/>
                <w:lang w:val="en-US" w:eastAsia="zh-CN"/>
              </w:rPr>
            </w:pPr>
            <w:r>
              <w:rPr>
                <w:rFonts w:hint="eastAsia" w:ascii="宋体" w:hAnsi="宋体" w:eastAsia="宋体" w:cs="仿宋_GB2312"/>
                <w:lang w:val="en-US" w:eastAsia="zh-CN"/>
              </w:rPr>
              <w:t>学院官方网站</w:t>
            </w:r>
          </w:p>
        </w:tc>
        <w:tc>
          <w:tcPr>
            <w:tcW w:w="1418" w:type="dxa"/>
            <w:noWrap w:val="0"/>
            <w:vAlign w:val="center"/>
          </w:tcPr>
          <w:p>
            <w:pPr>
              <w:jc w:val="center"/>
              <w:rPr>
                <w:rFonts w:hint="default" w:ascii="宋体" w:hAnsi="宋体" w:eastAsia="宋体" w:cs="仿宋_GB2312"/>
                <w:kern w:val="0"/>
                <w:lang w:val="en-US" w:eastAsia="zh-CN"/>
              </w:rPr>
            </w:pPr>
            <w:r>
              <w:rPr>
                <w:rFonts w:hint="eastAsia" w:ascii="宋体" w:hAnsi="宋体" w:cs="仿宋_GB2312"/>
                <w:kern w:val="0"/>
                <w:lang w:val="en-US" w:eastAsia="zh-CN"/>
              </w:rPr>
              <w:t>第二级</w:t>
            </w:r>
          </w:p>
        </w:tc>
        <w:tc>
          <w:tcPr>
            <w:tcW w:w="1332" w:type="dxa"/>
            <w:noWrap w:val="0"/>
            <w:vAlign w:val="center"/>
          </w:tcPr>
          <w:p>
            <w:pPr>
              <w:jc w:val="center"/>
              <w:rPr>
                <w:rFonts w:hint="default" w:ascii="宋体" w:hAnsi="宋体" w:eastAsia="宋体" w:cs="仿宋_GB2312"/>
                <w:kern w:val="0"/>
                <w:lang w:val="en-US" w:eastAsia="zh-CN"/>
              </w:rPr>
            </w:pPr>
          </w:p>
        </w:tc>
        <w:tc>
          <w:tcPr>
            <w:tcW w:w="641" w:type="dxa"/>
            <w:shd w:val="clear" w:color="auto" w:fill="auto"/>
            <w:noWrap w:val="0"/>
            <w:vAlign w:val="center"/>
          </w:tcPr>
          <w:p>
            <w:pPr>
              <w:jc w:val="center"/>
              <w:rPr>
                <w:rFonts w:hint="eastAsia" w:ascii="宋体" w:hAnsi="宋体" w:eastAsia="宋体" w:cs="仿宋_GB2312"/>
                <w:kern w:val="0"/>
                <w:sz w:val="21"/>
                <w:szCs w:val="24"/>
                <w:lang w:val="en-US" w:eastAsia="zh-CN" w:bidi="ar-SA"/>
              </w:rPr>
            </w:pPr>
            <w:r>
              <w:rPr>
                <w:rFonts w:hint="eastAsia" w:ascii="宋体" w:hAnsi="宋体" w:cs="仿宋_GB2312"/>
                <w:kern w:val="0"/>
                <w:lang w:val="en-US" w:eastAsia="zh-CN"/>
              </w:rPr>
              <w:t>1</w:t>
            </w:r>
          </w:p>
        </w:tc>
        <w:tc>
          <w:tcPr>
            <w:tcW w:w="1124" w:type="dxa"/>
            <w:shd w:val="clear" w:color="auto" w:fill="auto"/>
            <w:noWrap w:val="0"/>
            <w:vAlign w:val="center"/>
          </w:tcPr>
          <w:p>
            <w:pPr>
              <w:jc w:val="center"/>
              <w:rPr>
                <w:rFonts w:hint="eastAsia" w:ascii="宋体" w:hAnsi="宋体" w:eastAsia="宋体" w:cs="仿宋_GB2312"/>
                <w:kern w:val="0"/>
                <w:sz w:val="21"/>
                <w:szCs w:val="24"/>
                <w:lang w:val="en-US" w:eastAsia="zh-CN" w:bidi="ar-SA"/>
              </w:rPr>
            </w:pPr>
          </w:p>
        </w:tc>
        <w:tc>
          <w:tcPr>
            <w:tcW w:w="1632" w:type="dxa"/>
            <w:shd w:val="clear" w:color="auto" w:fill="auto"/>
            <w:noWrap w:val="0"/>
            <w:vAlign w:val="center"/>
          </w:tcPr>
          <w:p>
            <w:pPr>
              <w:jc w:val="center"/>
              <w:rPr>
                <w:rFonts w:hint="default" w:ascii="宋体" w:hAnsi="宋体" w:cs="仿宋_GB2312"/>
                <w:kern w:val="0"/>
                <w:lang w:val="en-US" w:eastAsia="zh-CN"/>
              </w:rPr>
            </w:pPr>
            <w:r>
              <w:rPr>
                <w:rFonts w:hint="eastAsia" w:ascii="宋体" w:hAnsi="宋体" w:cs="仿宋_GB2312"/>
                <w:kern w:val="0"/>
                <w:lang w:val="en-US" w:eastAsia="zh-CN"/>
              </w:rPr>
              <w:t>等保测评服务</w:t>
            </w:r>
          </w:p>
        </w:tc>
      </w:tr>
    </w:tbl>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三、测评服务指标</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测评需覆盖1个新版官方网站：</w:t>
      </w:r>
      <w:bookmarkStart w:id="0" w:name="_GoBack"/>
      <w:bookmarkEnd w:id="0"/>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技术部分：安全物理环境、安全通信网络、安全区域边界、安全计算环境、安全管理中心；</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管理部分：安全管理制度、安全管理机构、安全管理人员、安全建设管理、安全运维管理。请参与询价企业提供合理控制价及对应技术参数响应方案。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四、核心技术参数要求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8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网络等级保护测评服务项目名称</w:t>
            </w:r>
          </w:p>
        </w:tc>
        <w:tc>
          <w:tcPr>
            <w:tcW w:w="8039" w:type="dxa"/>
            <w:vAlign w:val="center"/>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trPr>
        <w:tc>
          <w:tcPr>
            <w:tcW w:w="1518"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tLeast"/>
              <w:ind w:right="0" w:rightChars="0"/>
              <w:jc w:val="center"/>
              <w:textAlignment w:val="auto"/>
              <w:rPr>
                <w:rFonts w:hint="eastAsia" w:ascii="仿宋" w:hAnsi="仿宋" w:eastAsia="仿宋" w:cs="仿宋"/>
                <w:b w:val="0"/>
                <w:bCs w:val="0"/>
                <w:color w:val="000000"/>
                <w:kern w:val="0"/>
                <w:sz w:val="28"/>
                <w:szCs w:val="28"/>
                <w:vertAlign w:val="baseline"/>
                <w:lang w:val="en-US" w:eastAsia="zh-CN" w:bidi="ar"/>
              </w:rPr>
            </w:pPr>
            <w:r>
              <w:rPr>
                <w:rFonts w:hint="eastAsia" w:ascii="仿宋" w:hAnsi="仿宋" w:eastAsia="仿宋" w:cs="仿宋"/>
                <w:kern w:val="0"/>
                <w:sz w:val="32"/>
                <w:szCs w:val="32"/>
                <w:lang w:val="en-US" w:eastAsia="zh-CN" w:bidi="ar"/>
              </w:rPr>
              <w:t>黑龙江农业职业技术学院官方网站二级等保护测评项目</w:t>
            </w:r>
          </w:p>
        </w:tc>
        <w:tc>
          <w:tcPr>
            <w:tcW w:w="8039" w:type="dxa"/>
          </w:tcPr>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l．需从安全物理环境、安全通信网络、安全区域边界、安全计算环境、安全管理中心、安全管理制度、安全管理机构、安全管理人员、安全建设管理、安全运维管理等十个安全层面开展测评工作。</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安全物理环境测评需通过访谈、文档审查和实地察看的方式测评信息系统的物理安全保障情况。测试过程中投标人必须使用高低频电磁辐射计、绝缘电阻测试仪、粉尘颗粒物计数器等检测设备开展工作，并在报告中体现具体体物理数值。</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3．安全通信网络测评需通过核查和验证测试的方式验证通信网络安全性，主要验证对象为广域网、城域网和局域网等；涉及的安全控制点包括网络架构、通信传输和可信验证。</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4．安全区域边界测评需通过核查和验证测试的方式验证网络区域边界的安全性，主要对象为系统边界和区域边界等；涉及的安全控制点包括边界防护、访问控制、入侵防范、恶意代码防范、安全审计和可信验证等。</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5．安全计算环境测评需通过核查和验证测试的方式验证计算环境安全性，主要对象为边界内部的所有对象。包括网络设备、安全设备、服务器设备、终端设备、应用系统、数据对象和其他设备等；涉及的控制点包括身份鉴别、访问控制、安全审计、入侵防范、恶意代码防范、可信验证、数据完整性、数据保密性、数据备份恢复、剩余信息保护、个人信息保护等。</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6．安全管理中心测评需通过核查和验证测试的方式验证安全管理中心的安全性，主要对象为集中管控平台、集中运维平台、日志审计系统等。涉及的安全控制点包括系统管理、审计管理、安全管理和集中管控等</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7．安全管理制度测评将通过访谈和核查的方式测评信息系统的安全管理制度建立情况。主要涉及对象为：信息安全管理体系、日常安全管理制度、重严操作规程及相关执行记录等。</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8．安全管理机构测评将通过访谈和核查的方式测评信息系统的安全管理机构建立情况。主要涉及对象为：安全管理机构设立文档、信息安全小组名单、岗位说明书、等文档及执行记录。</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9．安全管理人员测评将通过访谈和核查的方式测评信息系统的人员安全管理方面情况。主要涉及对象为：人事管理制度、外部人员访问要求等安全管理制度及执行记录。</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10.安全建设管理测评将通过访谈和核查的方式测评信息系统的系统建设管理方面情况。主要涉及对象为：系统建设过程中涉及的相关文档，如：系统定级报告、安全设计方案、测试验收报告等文档及软件开发、 工程实施等方面的安全管理制度及执行记录。</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11．安全运维管理测评将通过访谈和核查的方式测评信息系统的系统运维管理方面情况。主要涉及对象为：系统运维过程中涉及的安全管理制度及执行记录。</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12．根据此次测评工作结论，提出信息系统问题整改意见，协助采购单位开展系统加固工作， 并全程跟踪网络信息安全产品厂商实施工作， 确保安全产品实施结果符合等级保护相关级</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别技术要求。</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13 测评机构需严格依据《GB/T28449— 2018信息安全技术网络安全等级保护测评过程指南》开展现场测评工作， 测评方法包括但不限于访淡、核查、工具测试等内容。</w:t>
            </w:r>
          </w:p>
          <w:p>
            <w:pPr>
              <w:keepNext w:val="0"/>
              <w:keepLines w:val="0"/>
              <w:pageBreakBefore w:val="0"/>
              <w:numPr>
                <w:ilvl w:val="0"/>
                <w:numId w:val="0"/>
              </w:numPr>
              <w:tabs>
                <w:tab w:val="left" w:pos="709"/>
                <w:tab w:val="left" w:pos="735"/>
                <w:tab w:val="left" w:pos="993"/>
              </w:tabs>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14．测评工作结束后，依据《网络安全等级保护测评报告2025版》为采购单位出具符合等保2.0测评要求的测评报告。</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tLeast"/>
              <w:ind w:right="0" w:rightChars="0"/>
              <w:jc w:val="both"/>
              <w:textAlignment w:val="auto"/>
              <w:rPr>
                <w:rFonts w:hint="default" w:ascii="仿宋" w:hAnsi="仿宋" w:eastAsia="仿宋" w:cs="仿宋"/>
                <w:b w:val="0"/>
                <w:bCs w:val="0"/>
                <w:color w:val="000000"/>
                <w:kern w:val="0"/>
                <w:sz w:val="28"/>
                <w:szCs w:val="28"/>
                <w:vertAlign w:val="baseline"/>
                <w:lang w:val="en-US" w:eastAsia="zh-CN" w:bidi="ar"/>
              </w:rPr>
            </w:pP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37F0B"/>
    <w:rsid w:val="1365701B"/>
    <w:rsid w:val="2838713C"/>
    <w:rsid w:val="34AA7ABD"/>
    <w:rsid w:val="73037F0B"/>
    <w:rsid w:val="74944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2026-06-11T02:03:00Z</dcterms:created>
  <dc:creator>赵瑞</dc:creator>
  <cp:lastModifiedBy>★放飞☆梦想★</cp:lastModifiedBy>
  <dcterms:modified xsi:type="dcterms:W3CDTF">2026-06-26T03:18:14Z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8E3F79C8DD124C4F8C03C70A8673FF55</vt:lpwstr>
  </property>
  <property fmtid="{D5CDD505-2E9C-101B-9397-08002B2CF9AE}" pid="4" name="KSOTemplateDocerSaveRecord">
    <vt:lpwstr>eyJoZGlkIjoiYjZlZDVjZTVkODk3YmU4ODhiMzJjMTQ3YTE2MmFkN2QiLCJ1c2VySWQiOiI3MzgxMzEyMTkifQ==</vt:lpwstr>
  </property>
</Properties>
</file>