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黑体" w:hAnsi="黑体" w:eastAsia="黑体" w:cs="黑体"/>
          <w:color w:val="000000"/>
          <w:sz w:val="44"/>
          <w:szCs w:val="44"/>
          <w:lang w:val="en-US" w:eastAsia="zh-CN"/>
        </w:rPr>
      </w:pPr>
      <w:r>
        <w:rPr>
          <w:rFonts w:hint="eastAsia" w:ascii="黑体" w:hAnsi="黑体" w:eastAsia="黑体" w:cs="黑体"/>
          <w:color w:val="000000"/>
          <w:sz w:val="44"/>
          <w:szCs w:val="44"/>
        </w:rPr>
        <w:t>学院内部质量</w:t>
      </w:r>
      <w:r>
        <w:rPr>
          <w:rFonts w:hint="eastAsia" w:ascii="黑体" w:hAnsi="黑体" w:eastAsia="黑体" w:cs="黑体"/>
          <w:color w:val="000000"/>
          <w:sz w:val="44"/>
          <w:szCs w:val="44"/>
          <w:lang w:val="en-US" w:eastAsia="zh-CN"/>
        </w:rPr>
        <w:t>平台</w:t>
      </w:r>
      <w:r>
        <w:rPr>
          <w:rFonts w:hint="eastAsia" w:ascii="黑体" w:hAnsi="黑体" w:eastAsia="黑体" w:cs="黑体"/>
          <w:color w:val="000000"/>
          <w:sz w:val="44"/>
          <w:szCs w:val="44"/>
        </w:rPr>
        <w:t>二级等保</w:t>
      </w:r>
      <w:r>
        <w:rPr>
          <w:rFonts w:hint="eastAsia" w:ascii="黑体" w:hAnsi="黑体" w:eastAsia="黑体" w:cs="黑体"/>
          <w:color w:val="000000"/>
          <w:sz w:val="44"/>
          <w:szCs w:val="44"/>
          <w:lang w:val="en-US" w:eastAsia="zh-CN"/>
        </w:rPr>
        <w:t>测评技术参数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黑体" w:hAnsi="黑体" w:eastAsia="黑体" w:cs="黑体"/>
          <w:color w:val="000000"/>
          <w:sz w:val="44"/>
          <w:szCs w:val="44"/>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center"/>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为落实《网络安全法》及教育部相关要求，提升学院内部质量平台安全防护能力，确保系统合法合规运行，现对该平台网络安全等级保护二级测评进行询价，具体要求如下：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一、项目核心要求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依据《中华人民共和国网络安全法》、GB/T22239-2019、GB/T28448-2019、GB/T28449-2018及相关标准，开展学院内部质量平台信息系统二级等保测评。参与询价企业需具备公安部第三研究所颁发的《网络安全等级测评与检测评估机构服务认证证书》，或取得合法有效的测评机构授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二、测评服务范围</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测评需覆盖10个层面：技术部分：安全物理环境、安全通信网络、安全区域边界、安全计算环境、安全管理中心；管理部分：安全管理制度、安全管理机构、安全管理人员、安全建设管理、安全运维管理。请参与询价企业提供合理控制价及对应技术参数响应方案。</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核心技术参数要求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kern w:val="0"/>
          <w:sz w:val="32"/>
          <w:szCs w:val="32"/>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eastAsia" w:ascii="仿宋_GB2312" w:hAnsi="仿宋_GB2312" w:eastAsia="仿宋_GB2312" w:cs="仿宋_GB2312"/>
          <w:b/>
          <w:bCs/>
          <w:color w:val="000000"/>
          <w:kern w:val="0"/>
          <w:sz w:val="32"/>
          <w:szCs w:val="32"/>
          <w:lang w:val="en-US" w:eastAsia="zh-CN" w:bidi="ar"/>
        </w:rPr>
        <w:sectPr>
          <w:pgSz w:w="11906" w:h="16838"/>
          <w:pgMar w:top="1440" w:right="1800" w:bottom="1440" w:left="1800" w:header="851" w:footer="992" w:gutter="0"/>
          <w:cols w:space="425" w:num="1"/>
          <w:docGrid w:type="lines" w:linePitch="312" w:charSpace="0"/>
        </w:sect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500"/>
        <w:gridCol w:w="1517"/>
        <w:gridCol w:w="600"/>
        <w:gridCol w:w="450"/>
        <w:gridCol w:w="1550"/>
        <w:gridCol w:w="8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dxa"/>
            <w:vAlign w:val="center"/>
          </w:tcPr>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lang w:val="en-US" w:eastAsia="zh-CN" w:bidi="ar"/>
              </w:rPr>
              <w:t>网络等级保护擦平服务</w:t>
            </w:r>
            <w:r>
              <w:rPr>
                <w:rFonts w:hint="eastAsia" w:ascii="仿宋_GB2312" w:hAnsi="仿宋_GB2312" w:eastAsia="仿宋_GB2312" w:cs="仿宋_GB2312"/>
                <w:b/>
                <w:bCs/>
                <w:color w:val="000000"/>
                <w:kern w:val="0"/>
                <w:sz w:val="32"/>
                <w:szCs w:val="32"/>
                <w:vertAlign w:val="baseline"/>
                <w:lang w:val="en-US" w:eastAsia="zh-CN" w:bidi="ar"/>
              </w:rPr>
              <w:t>项目名称</w:t>
            </w:r>
          </w:p>
        </w:tc>
        <w:tc>
          <w:tcPr>
            <w:tcW w:w="500"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品牌</w:t>
            </w:r>
          </w:p>
        </w:tc>
        <w:tc>
          <w:tcPr>
            <w:tcW w:w="151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含税单价（元）</w:t>
            </w:r>
          </w:p>
        </w:tc>
        <w:tc>
          <w:tcPr>
            <w:tcW w:w="600"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单位</w:t>
            </w:r>
          </w:p>
        </w:tc>
        <w:tc>
          <w:tcPr>
            <w:tcW w:w="450"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数量</w:t>
            </w:r>
          </w:p>
        </w:tc>
        <w:tc>
          <w:tcPr>
            <w:tcW w:w="1550"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含税总价（元）</w:t>
            </w:r>
          </w:p>
        </w:tc>
        <w:tc>
          <w:tcPr>
            <w:tcW w:w="8039"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default" w:ascii="仿宋_GB2312" w:hAnsi="仿宋_GB2312" w:eastAsia="仿宋_GB2312" w:cs="仿宋_GB2312"/>
                <w:b/>
                <w:bCs/>
                <w:color w:val="000000"/>
                <w:kern w:val="0"/>
                <w:sz w:val="32"/>
                <w:szCs w:val="32"/>
                <w:vertAlign w:val="baseline"/>
                <w:lang w:val="en-US" w:eastAsia="zh-CN" w:bidi="ar"/>
              </w:rPr>
            </w:pPr>
            <w:r>
              <w:rPr>
                <w:rFonts w:hint="eastAsia" w:ascii="仿宋_GB2312" w:hAnsi="仿宋_GB2312" w:eastAsia="仿宋_GB2312" w:cs="仿宋_GB2312"/>
                <w:b/>
                <w:bCs/>
                <w:color w:val="000000"/>
                <w:kern w:val="0"/>
                <w:sz w:val="32"/>
                <w:szCs w:val="32"/>
                <w:vertAlign w:val="baseline"/>
                <w:lang w:val="en-US" w:eastAsia="zh-CN" w:bidi="ar"/>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4" w:hRule="atLeast"/>
        </w:trPr>
        <w:tc>
          <w:tcPr>
            <w:tcW w:w="1518"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黑龙江农业职业技术学院内部质量网等级保护项目</w:t>
            </w:r>
          </w:p>
        </w:tc>
        <w:tc>
          <w:tcPr>
            <w:tcW w:w="500"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p>
        </w:tc>
        <w:tc>
          <w:tcPr>
            <w:tcW w:w="1517"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49500.00</w:t>
            </w:r>
          </w:p>
        </w:tc>
        <w:tc>
          <w:tcPr>
            <w:tcW w:w="600"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项</w:t>
            </w:r>
          </w:p>
        </w:tc>
        <w:tc>
          <w:tcPr>
            <w:tcW w:w="450"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default"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w:t>
            </w:r>
          </w:p>
        </w:tc>
        <w:tc>
          <w:tcPr>
            <w:tcW w:w="1550"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default"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49500.00</w:t>
            </w:r>
          </w:p>
        </w:tc>
        <w:tc>
          <w:tcPr>
            <w:tcW w:w="8039"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l．需从安全物理环境、安全通信网络、安全区域边界、安全计算环境、安全管理中心、安全管理制度、安全管理机构、安全管理人员、安全建设管理、安全运维管理等十个安全层面开展测评工作。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2．安全物理环境测评需通过访谈、文档审查和实地察看的方式测评信息系统的物理安全保障情况。测试过程中投标人必须使用高低频电磁辐射计、绝缘电阻测试仪、粉尘颗粒物计数器等检测设备开展工作，并在报告中体现具体体物理数值。</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3．安全通信网络测评需通过核查和验证测试的方式验证通信网络安全性，主要验证对象为广域网、城域网和局域网等；涉及的安全控制点包括网络架构、通信传输和可信验证。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4．安全区域边界测评需通过核查和验证测试的方式验证网络区域边界的安全性，主要对象为系统边界和区域边界等；涉及的安全控制点包括边界防护、访问控制、入侵防范、恶意代码防范、安全审计和可信验证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5．安全计算环境测评需通过核查和验证测试的方式验证计算环境安全性，主要对象为边界内部的所有对象。包括网络设备、安全设备、服务器设备、终端设备、应用系统、数据对象和其他设备等；涉及的控制点包括身份鉴别、访问控制、安全审计、入侵防范、恶意代码防范、可信验证、数据完整性、数据保密性、数据备份恢复、剩余信息保护、个人信息保护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6．安全管理中心测评需通过核查和验证测试的方式验证安全管理中心的安全性，主要对象为集中管控平台、集中运维平台、日志审计系统等。涉及的安全控制点包括系统管理、审计管理、安全管理和集中管控等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7．安全管理制度测评将通过访谈和核查的方式测评信息系统的安全管理制度建立情况。主要涉及对象为：信息安全管理体系、日常安全管理制度、重严操作规程及相关执行记录等。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8．安全管理机构测评将通过访谈和核查的方式测评信息系统的安全管理机构建立情况。主要涉及对象为：安全管理机构设立文档、信息安全小组名单、岗位说明书、等文档及执行记录。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9．安全管理人员测评将通过访谈和核查的方式测评信息系统的人员安全管理方面情况。主</w:t>
            </w:r>
            <w:bookmarkStart w:id="0" w:name="_GoBack"/>
            <w:bookmarkEnd w:id="0"/>
            <w:r>
              <w:rPr>
                <w:rFonts w:hint="eastAsia" w:ascii="仿宋" w:hAnsi="仿宋" w:eastAsia="仿宋" w:cs="仿宋"/>
                <w:b w:val="0"/>
                <w:bCs w:val="0"/>
                <w:color w:val="000000"/>
                <w:kern w:val="0"/>
                <w:sz w:val="28"/>
                <w:szCs w:val="28"/>
                <w:vertAlign w:val="baseline"/>
                <w:lang w:val="en-US" w:eastAsia="zh-CN" w:bidi="ar"/>
              </w:rPr>
              <w:t>要涉及对象为：人事管理制度、外部人员访问要求等安全管理制度及执行记录。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10.安全建设管理测评将通过访谈和核查的方式测评信息系统的系统建设管理方面情况。主要涉及对象为：系统建设过程中涉及的相关文档，如：系统定级报告、安全设计方案、测试验收报告等文档及软件开发、 工程实施等方面的安全管理制度及执行记录。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11．安全运维管理测评将通过访谈和核查的方式测评信息系统的系统运维管理方面情况。主要涉及对象为：系统运维过程中涉及的安全管理制度及执行记录。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12．根据此次测评工作结论，提出信息系统问题整改意见，协助采购单位开展系统加固工作， 并全程跟踪网络信息安全产品厂商实施工作， 确保安全产品实施结果符合等级保护相关级</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别技术要求。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13 测评机构需严格依据《GB/T28449— 2018信息安全技术网络安全等级保护测评过程指南》开展现场测评丁作， 测评方法包括但不限于访淡、核查、工具测试等内容。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default" w:ascii="仿宋" w:hAnsi="仿宋" w:eastAsia="仿宋" w:cs="仿宋"/>
                <w:b w:val="0"/>
                <w:bCs w:val="0"/>
                <w:color w:val="000000"/>
                <w:kern w:val="0"/>
                <w:sz w:val="28"/>
                <w:szCs w:val="28"/>
                <w:vertAlign w:val="baseline"/>
                <w:lang w:val="en-US" w:eastAsia="zh-CN" w:bidi="ar"/>
              </w:rPr>
            </w:pPr>
            <w:r>
              <w:rPr>
                <w:rFonts w:hint="eastAsia" w:ascii="仿宋" w:hAnsi="仿宋" w:eastAsia="仿宋" w:cs="仿宋"/>
                <w:b w:val="0"/>
                <w:bCs w:val="0"/>
                <w:color w:val="000000"/>
                <w:kern w:val="0"/>
                <w:sz w:val="28"/>
                <w:szCs w:val="28"/>
                <w:vertAlign w:val="baseline"/>
                <w:lang w:val="en-US" w:eastAsia="zh-CN" w:bidi="ar"/>
              </w:rPr>
              <w:t>14．测评工作结束后，依据《网络安全等级保护测评报告2025版》为采购单位出具符合等保2.0测评要求的测评报告。</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default" w:ascii="仿宋" w:hAnsi="仿宋" w:eastAsia="仿宋" w:cs="仿宋"/>
                <w:b w:val="0"/>
                <w:bCs w:val="0"/>
                <w:color w:val="000000"/>
                <w:kern w:val="0"/>
                <w:sz w:val="28"/>
                <w:szCs w:val="28"/>
                <w:vertAlign w:val="baseline"/>
                <w:lang w:val="en-US" w:eastAsia="zh-CN" w:bidi="ar"/>
              </w:rPr>
            </w:pPr>
          </w:p>
        </w:tc>
      </w:tr>
    </w:tbl>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eastAsiaTheme="minorEastAsia"/>
          <w:color w:val="000000"/>
          <w:sz w:val="24"/>
          <w:szCs w:val="24"/>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E18DA"/>
    <w:multiLevelType w:val="singleLevel"/>
    <w:tmpl w:val="AE0E18D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lMjRiNmQ1MmY4NzA4YWQyMGM2MTc1ZDE3NGY3YzcifQ=="/>
  </w:docVars>
  <w:rsids>
    <w:rsidRoot w:val="00000000"/>
    <w:rsid w:val="06523F14"/>
    <w:rsid w:val="0EBC3CD8"/>
    <w:rsid w:val="14815859"/>
    <w:rsid w:val="2C8F6D9B"/>
    <w:rsid w:val="3C37192A"/>
    <w:rsid w:val="4322086C"/>
    <w:rsid w:val="53BF043D"/>
    <w:rsid w:val="57347939"/>
    <w:rsid w:val="5B5A3E6F"/>
    <w:rsid w:val="5EB97DCB"/>
    <w:rsid w:val="68C5426E"/>
    <w:rsid w:val="79D03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99"/>
    <w:pPr>
      <w:ind w:firstLine="630"/>
    </w:pPr>
    <w:rPr>
      <w:sz w:val="32"/>
      <w:szCs w:val="20"/>
    </w:rPr>
  </w:style>
  <w:style w:type="paragraph" w:styleId="5">
    <w:name w:val="envelope return"/>
    <w:basedOn w:val="1"/>
    <w:qFormat/>
    <w:uiPriority w:val="99"/>
    <w:pPr>
      <w:snapToGrid w:val="0"/>
    </w:pPr>
    <w:rPr>
      <w:rFonts w:ascii="Arial" w:hAnsi="Arial"/>
    </w:rPr>
  </w:style>
  <w:style w:type="paragraph" w:styleId="6">
    <w:name w:val="Body Text First Indent 2"/>
    <w:basedOn w:val="4"/>
    <w:qFormat/>
    <w:uiPriority w:val="99"/>
    <w:pPr>
      <w:ind w:left="420"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1738</Words>
  <Characters>1813</Characters>
  <Lines>0</Lines>
  <Paragraphs>0</Paragraphs>
  <TotalTime>13</TotalTime>
  <ScaleCrop>false</ScaleCrop>
  <LinksUpToDate>false</LinksUpToDate>
  <CharactersWithSpaces>1815</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2026-03-12T03:04:00Z</dcterms:created>
  <dc:creator>Administrator</dc:creator>
  <cp:lastModifiedBy>Administrator</cp:lastModifiedBy>
  <cp:lastPrinted>2026-04-08T06:20:00Z</cp:lastPrinted>
  <dcterms:modified xsi:type="dcterms:W3CDTF">2026-04-08T07:06:37Z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KSOTemplateDocerSaveRecord">
    <vt:lpwstr>eyJoZGlkIjoiMzEzOTQxOGY0OWY1MTNlZWM3MmZmMzBlMTJlYjQxNTIiLCJ1c2VySWQiOiIxNzkwODk1ODQxIn0=</vt:lpwstr>
  </property>
  <property fmtid="{D5CDD505-2E9C-101B-9397-08002B2CF9AE}" pid="4" name="ICV">
    <vt:lpwstr>8086F620AB6E4D77BE4C9BAA8A45D98C_13</vt:lpwstr>
  </property>
</Properties>
</file>