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D1B27">
      <w:pPr>
        <w:pStyle w:val="3"/>
        <w:ind w:left="480"/>
        <w:rPr>
          <w:rFonts w:hint="eastAsia" w:ascii="宋体" w:hAnsi="宋体" w:eastAsia="宋体"/>
        </w:rPr>
      </w:pPr>
      <w:r>
        <w:rPr>
          <w:rFonts w:hint="eastAsia" w:ascii="宋体" w:hAnsi="宋体" w:eastAsia="宋体"/>
        </w:rPr>
        <w:t>产品数量</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2"/>
        <w:gridCol w:w="3728"/>
        <w:gridCol w:w="1596"/>
        <w:gridCol w:w="1596"/>
      </w:tblGrid>
      <w:tr w14:paraId="4E9A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pct"/>
          </w:tcPr>
          <w:p w14:paraId="131DD247">
            <w:pPr>
              <w:pStyle w:val="23"/>
              <w:spacing w:after="62"/>
            </w:pPr>
            <w:r>
              <w:t>序号</w:t>
            </w:r>
          </w:p>
        </w:tc>
        <w:tc>
          <w:tcPr>
            <w:tcW w:w="2189" w:type="pct"/>
            <w:vAlign w:val="center"/>
          </w:tcPr>
          <w:p w14:paraId="3B0A9745">
            <w:pPr>
              <w:pStyle w:val="23"/>
              <w:spacing w:after="62"/>
            </w:pPr>
            <w:r>
              <w:t>采购项目</w:t>
            </w:r>
          </w:p>
        </w:tc>
        <w:tc>
          <w:tcPr>
            <w:tcW w:w="937" w:type="pct"/>
          </w:tcPr>
          <w:p w14:paraId="45D3C8C3">
            <w:pPr>
              <w:pStyle w:val="23"/>
              <w:spacing w:after="62"/>
            </w:pPr>
            <w:r>
              <w:t>单位</w:t>
            </w:r>
          </w:p>
        </w:tc>
        <w:tc>
          <w:tcPr>
            <w:tcW w:w="937" w:type="pct"/>
          </w:tcPr>
          <w:p w14:paraId="3F3907F0">
            <w:pPr>
              <w:pStyle w:val="23"/>
              <w:spacing w:after="62"/>
            </w:pPr>
            <w:r>
              <w:t>数量</w:t>
            </w:r>
          </w:p>
        </w:tc>
      </w:tr>
      <w:tr w14:paraId="6725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pct"/>
          </w:tcPr>
          <w:p w14:paraId="2206629A">
            <w:pPr>
              <w:pStyle w:val="23"/>
              <w:spacing w:after="62"/>
              <w:rPr>
                <w:rFonts w:hint="eastAsia" w:eastAsia="宋体"/>
                <w:lang w:eastAsia="zh-CN"/>
              </w:rPr>
            </w:pPr>
            <w:r>
              <w:rPr>
                <w:rFonts w:hint="eastAsia"/>
                <w:lang w:val="en-US" w:eastAsia="zh-CN"/>
              </w:rPr>
              <w:t>1</w:t>
            </w:r>
          </w:p>
        </w:tc>
        <w:tc>
          <w:tcPr>
            <w:tcW w:w="2189" w:type="pct"/>
            <w:vAlign w:val="center"/>
          </w:tcPr>
          <w:p w14:paraId="33F2BA00">
            <w:pPr>
              <w:pStyle w:val="23"/>
              <w:spacing w:after="62"/>
            </w:pPr>
            <w:r>
              <w:t>教学用服务器</w:t>
            </w:r>
          </w:p>
        </w:tc>
        <w:tc>
          <w:tcPr>
            <w:tcW w:w="937" w:type="pct"/>
          </w:tcPr>
          <w:p w14:paraId="1FFC4EC3">
            <w:pPr>
              <w:pStyle w:val="23"/>
              <w:spacing w:after="62"/>
              <w:rPr>
                <w:color w:val="FF0000"/>
              </w:rPr>
            </w:pPr>
            <w:r>
              <w:rPr>
                <w:color w:val="FF0000"/>
              </w:rPr>
              <w:t>台</w:t>
            </w:r>
          </w:p>
        </w:tc>
        <w:tc>
          <w:tcPr>
            <w:tcW w:w="937" w:type="pct"/>
          </w:tcPr>
          <w:p w14:paraId="24BE4381">
            <w:pPr>
              <w:pStyle w:val="23"/>
              <w:spacing w:after="62"/>
              <w:rPr>
                <w:color w:val="FF0000"/>
              </w:rPr>
            </w:pPr>
            <w:r>
              <w:rPr>
                <w:color w:val="FF0000"/>
              </w:rPr>
              <w:t>1</w:t>
            </w:r>
          </w:p>
        </w:tc>
      </w:tr>
      <w:tr w14:paraId="7DA3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pct"/>
          </w:tcPr>
          <w:p w14:paraId="721FC066">
            <w:pPr>
              <w:pStyle w:val="23"/>
              <w:spacing w:after="62"/>
              <w:rPr>
                <w:rFonts w:hint="default"/>
                <w:lang w:val="en-US" w:eastAsia="zh-CN"/>
              </w:rPr>
            </w:pPr>
            <w:r>
              <w:rPr>
                <w:rFonts w:hint="eastAsia"/>
                <w:lang w:val="en-US" w:eastAsia="zh-CN"/>
              </w:rPr>
              <w:t>2</w:t>
            </w:r>
          </w:p>
        </w:tc>
        <w:tc>
          <w:tcPr>
            <w:tcW w:w="2189" w:type="pct"/>
            <w:vAlign w:val="center"/>
          </w:tcPr>
          <w:p w14:paraId="6AD22703">
            <w:pPr>
              <w:pStyle w:val="23"/>
              <w:spacing w:after="62"/>
            </w:pPr>
            <w:r>
              <w:rPr>
                <w:rFonts w:ascii="宋体" w:hAnsi="宋体"/>
              </w:rPr>
              <w:t>云桌面服务器</w:t>
            </w:r>
          </w:p>
        </w:tc>
        <w:tc>
          <w:tcPr>
            <w:tcW w:w="937" w:type="pct"/>
          </w:tcPr>
          <w:p w14:paraId="69FB8AFE">
            <w:pPr>
              <w:pStyle w:val="23"/>
              <w:spacing w:after="62"/>
              <w:rPr>
                <w:rFonts w:hint="eastAsia" w:eastAsia="宋体"/>
                <w:color w:val="FF0000"/>
                <w:lang w:val="en-US" w:eastAsia="zh-CN"/>
              </w:rPr>
            </w:pPr>
            <w:r>
              <w:rPr>
                <w:rFonts w:hint="eastAsia"/>
                <w:color w:val="FF0000"/>
                <w:lang w:val="en-US" w:eastAsia="zh-CN"/>
              </w:rPr>
              <w:t>台</w:t>
            </w:r>
          </w:p>
        </w:tc>
        <w:tc>
          <w:tcPr>
            <w:tcW w:w="937" w:type="pct"/>
          </w:tcPr>
          <w:p w14:paraId="2538922B">
            <w:pPr>
              <w:pStyle w:val="23"/>
              <w:spacing w:after="62"/>
              <w:rPr>
                <w:rFonts w:hint="eastAsia" w:eastAsia="宋体"/>
                <w:color w:val="FF0000"/>
                <w:lang w:val="en-US" w:eastAsia="zh-CN"/>
              </w:rPr>
            </w:pPr>
            <w:r>
              <w:rPr>
                <w:rFonts w:hint="eastAsia"/>
                <w:color w:val="FF0000"/>
                <w:lang w:val="en-US" w:eastAsia="zh-CN"/>
              </w:rPr>
              <w:t>1</w:t>
            </w:r>
          </w:p>
        </w:tc>
      </w:tr>
      <w:tr w14:paraId="515E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pct"/>
          </w:tcPr>
          <w:p w14:paraId="1BA716AC">
            <w:pPr>
              <w:pStyle w:val="23"/>
              <w:spacing w:after="62"/>
              <w:rPr>
                <w:rFonts w:hint="eastAsia" w:eastAsia="宋体"/>
                <w:lang w:val="en-US" w:eastAsia="zh-CN"/>
              </w:rPr>
            </w:pPr>
            <w:r>
              <w:rPr>
                <w:rFonts w:hint="eastAsia"/>
                <w:lang w:val="en-US" w:eastAsia="zh-CN"/>
              </w:rPr>
              <w:t>3</w:t>
            </w:r>
          </w:p>
        </w:tc>
        <w:tc>
          <w:tcPr>
            <w:tcW w:w="2189" w:type="pct"/>
            <w:vAlign w:val="center"/>
          </w:tcPr>
          <w:p w14:paraId="0A53BAD3">
            <w:pPr>
              <w:pStyle w:val="23"/>
              <w:spacing w:after="62"/>
            </w:pPr>
            <w:r>
              <w:t>教学交换机</w:t>
            </w:r>
          </w:p>
        </w:tc>
        <w:tc>
          <w:tcPr>
            <w:tcW w:w="937" w:type="pct"/>
          </w:tcPr>
          <w:p w14:paraId="199F9442">
            <w:pPr>
              <w:pStyle w:val="23"/>
              <w:spacing w:after="62"/>
              <w:rPr>
                <w:color w:val="FF0000"/>
              </w:rPr>
            </w:pPr>
            <w:r>
              <w:rPr>
                <w:color w:val="FF0000"/>
              </w:rPr>
              <w:t>台</w:t>
            </w:r>
          </w:p>
        </w:tc>
        <w:tc>
          <w:tcPr>
            <w:tcW w:w="937" w:type="pct"/>
          </w:tcPr>
          <w:p w14:paraId="4A798EDE">
            <w:pPr>
              <w:pStyle w:val="23"/>
              <w:spacing w:after="62"/>
              <w:rPr>
                <w:color w:val="FF0000"/>
              </w:rPr>
            </w:pPr>
            <w:r>
              <w:rPr>
                <w:color w:val="FF0000"/>
              </w:rPr>
              <w:t>8</w:t>
            </w:r>
          </w:p>
        </w:tc>
      </w:tr>
    </w:tbl>
    <w:p w14:paraId="00D6B86E">
      <w:pPr>
        <w:spacing w:after="62"/>
        <w:ind w:firstLine="0" w:firstLineChars="0"/>
        <w:rPr>
          <w:rFonts w:hint="eastAsia" w:ascii="宋体" w:hAnsi="宋体" w:cs="方正仿宋_GBK"/>
        </w:rPr>
      </w:pPr>
    </w:p>
    <w:p w14:paraId="003E9F55">
      <w:pPr>
        <w:spacing w:after="62"/>
        <w:ind w:firstLine="480"/>
        <w:rPr>
          <w:rFonts w:hint="eastAsia" w:ascii="宋体" w:hAnsi="宋体" w:cs="方正仿宋_GBK"/>
        </w:rPr>
      </w:pPr>
      <w:r>
        <w:rPr>
          <w:rFonts w:hint="eastAsia" w:ascii="宋体" w:hAnsi="宋体" w:cs="方正仿宋_GBK"/>
        </w:rPr>
        <w:br w:type="page"/>
      </w:r>
    </w:p>
    <w:p w14:paraId="3829B44D">
      <w:pPr>
        <w:pStyle w:val="3"/>
        <w:ind w:left="480"/>
        <w:rPr>
          <w:rFonts w:hint="eastAsia" w:ascii="宋体" w:hAnsi="宋体" w:eastAsia="宋体"/>
        </w:rPr>
      </w:pPr>
      <w:bookmarkStart w:id="0" w:name="_GoBack"/>
      <w:bookmarkEnd w:id="0"/>
      <w:r>
        <w:rPr>
          <w:rFonts w:hint="eastAsia" w:ascii="宋体" w:hAnsi="宋体" w:eastAsia="宋体"/>
        </w:rPr>
        <w:t>招标参数</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F7D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CB1EFE8">
            <w:pPr>
              <w:pStyle w:val="2"/>
              <w:spacing w:after="62"/>
              <w:ind w:left="480"/>
              <w:rPr>
                <w:rFonts w:hint="eastAsia" w:ascii="宋体" w:hAnsi="宋体" w:cs="方正仿宋_GBK"/>
              </w:rPr>
            </w:pPr>
            <w:r>
              <w:rPr>
                <w:rFonts w:hint="eastAsia" w:ascii="宋体" w:hAnsi="宋体"/>
              </w:rPr>
              <w:t>教学用服务器</w:t>
            </w:r>
          </w:p>
        </w:tc>
      </w:tr>
      <w:tr w14:paraId="33BF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2B9DF52">
            <w:pPr>
              <w:spacing w:after="62"/>
              <w:ind w:left="480" w:leftChars="200" w:firstLine="0" w:firstLineChars="0"/>
              <w:rPr>
                <w:rFonts w:hint="eastAsia" w:ascii="宋体" w:hAnsi="宋体" w:cs="方正仿宋_GBK"/>
              </w:rPr>
            </w:pPr>
            <w:r>
              <w:rPr>
                <w:rFonts w:hint="eastAsia" w:ascii="宋体" w:hAnsi="宋体"/>
                <w:color w:val="000000" w:themeColor="text1"/>
                <w:lang w:bidi="ar"/>
                <w14:textFill>
                  <w14:solidFill>
                    <w14:schemeClr w14:val="tx1"/>
                  </w14:solidFill>
                </w14:textFill>
              </w:rPr>
              <w:t>1、★不低于20核 不低于2.1G CPU,不低于2*32GB DDR4内存，不低于3*2t硬盘 不低于480GSSD*3。</w:t>
            </w:r>
          </w:p>
        </w:tc>
      </w:tr>
      <w:tr w14:paraId="1211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2592D52">
            <w:pPr>
              <w:pStyle w:val="2"/>
              <w:spacing w:after="62"/>
              <w:ind w:left="480"/>
              <w:rPr>
                <w:rFonts w:ascii="宋体" w:hAnsi="宋体"/>
              </w:rPr>
            </w:pPr>
            <w:r>
              <w:rPr>
                <w:rFonts w:ascii="宋体" w:hAnsi="宋体"/>
              </w:rPr>
              <w:t>云桌面服务器</w:t>
            </w:r>
          </w:p>
        </w:tc>
      </w:tr>
      <w:tr w14:paraId="493E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0DA5084">
            <w:pPr>
              <w:spacing w:after="62"/>
              <w:ind w:firstLine="480"/>
              <w:rPr>
                <w:rFonts w:hint="eastAsia" w:ascii="宋体" w:hAnsi="宋体"/>
              </w:rPr>
            </w:pPr>
            <w:r>
              <w:rPr>
                <w:rFonts w:ascii="宋体" w:hAnsi="宋体"/>
              </w:rPr>
              <w:t>1、要求1U机架式服务器。</w:t>
            </w:r>
          </w:p>
          <w:p w14:paraId="426CD7F4">
            <w:pPr>
              <w:spacing w:after="62"/>
              <w:ind w:firstLine="480"/>
              <w:rPr>
                <w:rFonts w:hint="eastAsia" w:ascii="宋体" w:hAnsi="宋体"/>
              </w:rPr>
            </w:pPr>
            <w:r>
              <w:rPr>
                <w:rFonts w:ascii="宋体" w:hAnsi="宋体"/>
              </w:rPr>
              <w:t>2、至少配置1颗国产化系列处理器，每颗CPU≥8核心16线程，主频≥3.0Ghz。</w:t>
            </w:r>
          </w:p>
          <w:p w14:paraId="5933C4E9">
            <w:pPr>
              <w:spacing w:after="62"/>
              <w:ind w:firstLine="480"/>
              <w:rPr>
                <w:rFonts w:hint="eastAsia" w:ascii="宋体" w:hAnsi="宋体"/>
              </w:rPr>
            </w:pPr>
            <w:r>
              <w:rPr>
                <w:rFonts w:ascii="宋体" w:hAnsi="宋体"/>
              </w:rPr>
              <w:t>3、内存：服务器内存插槽≥4个，实配内存容量≥32G。</w:t>
            </w:r>
          </w:p>
          <w:p w14:paraId="330D05A4">
            <w:pPr>
              <w:spacing w:after="62"/>
              <w:ind w:firstLine="480"/>
              <w:rPr>
                <w:rFonts w:hint="eastAsia" w:ascii="宋体" w:hAnsi="宋体"/>
              </w:rPr>
            </w:pPr>
            <w:r>
              <w:rPr>
                <w:rFonts w:ascii="宋体" w:hAnsi="宋体"/>
              </w:rPr>
              <w:t>4、SSD：实配1块480G 固态硬盘+2块 240G M.2 SSD。</w:t>
            </w:r>
          </w:p>
          <w:p w14:paraId="79F17273">
            <w:pPr>
              <w:spacing w:after="62"/>
              <w:ind w:firstLine="480"/>
              <w:rPr>
                <w:rFonts w:hint="eastAsia" w:ascii="宋体" w:hAnsi="宋体"/>
              </w:rPr>
            </w:pPr>
            <w:r>
              <w:rPr>
                <w:rFonts w:ascii="宋体" w:hAnsi="宋体"/>
              </w:rPr>
              <w:t>5、硬盘：集成SATA硬盘控制器，整机配置硬盘≥2块3.5寸 4TB 7200rpm SATA3硬盘。</w:t>
            </w:r>
          </w:p>
          <w:p w14:paraId="7081A23E">
            <w:pPr>
              <w:spacing w:after="62"/>
              <w:ind w:firstLine="480"/>
              <w:rPr>
                <w:rFonts w:hint="eastAsia" w:ascii="宋体" w:hAnsi="宋体"/>
              </w:rPr>
            </w:pPr>
            <w:r>
              <w:rPr>
                <w:rFonts w:ascii="宋体" w:hAnsi="宋体"/>
              </w:rPr>
              <w:t>6、网口：千兆网口≥4个。</w:t>
            </w:r>
          </w:p>
          <w:p w14:paraId="2CBB7161">
            <w:pPr>
              <w:spacing w:after="62"/>
              <w:ind w:firstLine="480"/>
              <w:rPr>
                <w:rFonts w:hint="eastAsia" w:ascii="宋体" w:hAnsi="宋体"/>
              </w:rPr>
            </w:pPr>
            <w:r>
              <w:rPr>
                <w:rFonts w:ascii="宋体" w:hAnsi="宋体"/>
              </w:rPr>
              <w:t>7、电源：功率≥350W。</w:t>
            </w:r>
          </w:p>
          <w:p w14:paraId="6C6849AF">
            <w:pPr>
              <w:spacing w:after="62"/>
              <w:ind w:firstLine="480"/>
              <w:rPr>
                <w:rFonts w:hint="eastAsia" w:ascii="宋体" w:hAnsi="宋体"/>
              </w:rPr>
            </w:pPr>
            <w:r>
              <w:rPr>
                <w:rFonts w:ascii="宋体" w:hAnsi="宋体"/>
              </w:rPr>
              <w:t>8、要求云终端控制器管理平台能对云终端控制器CPU、内存、硬盘资源使用情况进行呈现，CPU和内存资源占用情况按百分比数值直观呈现出来，硬盘资源按照系统和数据不同分区显示占用资源空间的数值大小和总空间的数值大小，以便进行资源的维护和管理。</w:t>
            </w:r>
          </w:p>
          <w:p w14:paraId="032FEC8D">
            <w:pPr>
              <w:spacing w:after="62"/>
              <w:ind w:firstLine="480"/>
              <w:rPr>
                <w:rFonts w:hint="eastAsia" w:ascii="宋体" w:hAnsi="宋体"/>
              </w:rPr>
            </w:pPr>
            <w:r>
              <w:rPr>
                <w:rFonts w:ascii="宋体" w:hAnsi="宋体"/>
              </w:rPr>
              <w:t>9、云终端控制器要求出厂预装云终端控制器虚拟化软件等桌面云组件，无需单独购买和配置虚拟化软件。</w:t>
            </w:r>
          </w:p>
          <w:p w14:paraId="7D799EE7">
            <w:pPr>
              <w:spacing w:after="62"/>
              <w:ind w:firstLine="480"/>
              <w:rPr>
                <w:rFonts w:hint="eastAsia" w:ascii="宋体" w:hAnsi="宋体"/>
              </w:rPr>
            </w:pPr>
            <w:r>
              <w:rPr>
                <w:rFonts w:ascii="宋体" w:hAnsi="宋体"/>
              </w:rPr>
              <w:t>10、为保证能够及时使用到新版本，云终端控制器软件版本的及时更新，必须提供统一升级功能。云终端控制器可以导入升级包，升级包可以对云终端控制器、云终端、教学管理软件升级。</w:t>
            </w:r>
          </w:p>
          <w:p w14:paraId="14D2E149">
            <w:pPr>
              <w:spacing w:after="62"/>
              <w:ind w:firstLine="480"/>
              <w:rPr>
                <w:rFonts w:hint="eastAsia" w:ascii="宋体" w:hAnsi="宋体"/>
              </w:rPr>
            </w:pPr>
            <w:r>
              <w:rPr>
                <w:rFonts w:ascii="宋体" w:hAnsi="宋体"/>
              </w:rPr>
              <w:t>11、云终端控制器需对云终端的存储空间进行统一管理，云终端数据盘满时，在云终端控制器管理页面提供一键清理功能。</w:t>
            </w:r>
          </w:p>
          <w:p w14:paraId="6BDF0C9E">
            <w:pPr>
              <w:spacing w:after="62"/>
              <w:ind w:firstLine="480"/>
              <w:rPr>
                <w:rFonts w:hint="eastAsia" w:ascii="宋体" w:hAnsi="宋体"/>
              </w:rPr>
            </w:pPr>
            <w:r>
              <w:rPr>
                <w:rFonts w:ascii="宋体" w:hAnsi="宋体"/>
              </w:rPr>
              <w:t>12、云终端控制器管理平台可实时显示在线终端列表，云终端的闲置率，支持对于所有终端实现一键关机功能。</w:t>
            </w:r>
          </w:p>
          <w:p w14:paraId="6995A99C">
            <w:pPr>
              <w:spacing w:after="62"/>
              <w:ind w:firstLine="480"/>
              <w:rPr>
                <w:rFonts w:hint="eastAsia" w:ascii="宋体" w:hAnsi="宋体"/>
              </w:rPr>
            </w:pPr>
            <w:r>
              <w:rPr>
                <w:rFonts w:ascii="宋体" w:hAnsi="宋体"/>
              </w:rPr>
              <w:t>13、为简化管理，要求智能云终端控制器提供云桌面的统一管理功能，能统一监控云桌面，包含但不限于以下参数：在线情况、IP地址、终端MAC地址；并可新建、修改、删除、批量生成云桌面。</w:t>
            </w:r>
          </w:p>
          <w:p w14:paraId="1998EB27">
            <w:pPr>
              <w:spacing w:after="62"/>
              <w:ind w:firstLine="480"/>
              <w:rPr>
                <w:rFonts w:hint="eastAsia" w:ascii="宋体" w:hAnsi="宋体"/>
              </w:rPr>
            </w:pPr>
            <w:r>
              <w:rPr>
                <w:rFonts w:ascii="宋体" w:hAnsi="宋体"/>
              </w:rPr>
              <w:t>14、云终端控制器要求支持设置定时任务，能够定时关闭云终端控制器、重启云主机、关闭云终端，可按照每天或者每周设置周期性任务，具体时间点能够设置到时分秒。</w:t>
            </w:r>
          </w:p>
          <w:p w14:paraId="1594D1BB">
            <w:pPr>
              <w:spacing w:after="62"/>
              <w:ind w:firstLine="480"/>
              <w:rPr>
                <w:rFonts w:hint="eastAsia" w:ascii="宋体" w:hAnsi="宋体"/>
              </w:rPr>
            </w:pPr>
            <w:r>
              <w:rPr>
                <w:rFonts w:ascii="宋体" w:hAnsi="宋体"/>
              </w:rPr>
              <w:t>15、云终端控制器和云终端都需要支持上电自启动，确保异常掉电之后重新加电设备能够自动启动，无需人员干预。</w:t>
            </w:r>
          </w:p>
          <w:p w14:paraId="2F836025">
            <w:pPr>
              <w:spacing w:after="62"/>
              <w:ind w:firstLine="480"/>
              <w:rPr>
                <w:rFonts w:hint="eastAsia" w:ascii="宋体" w:hAnsi="宋体"/>
              </w:rPr>
            </w:pPr>
            <w:r>
              <w:rPr>
                <w:rFonts w:ascii="宋体" w:hAnsi="宋体"/>
              </w:rPr>
              <w:t>16、云终端控制器后台提供消息管理功能，能够对接收的消息进行存储和查看，当信息未读时能够在后台进行标识提醒。</w:t>
            </w:r>
          </w:p>
          <w:p w14:paraId="75B892BB">
            <w:pPr>
              <w:spacing w:after="62"/>
              <w:ind w:firstLine="480"/>
              <w:rPr>
                <w:rFonts w:hint="eastAsia" w:ascii="宋体" w:hAnsi="宋体"/>
              </w:rPr>
            </w:pPr>
            <w:r>
              <w:rPr>
                <w:rFonts w:ascii="宋体" w:hAnsi="宋体"/>
              </w:rPr>
              <w:t>17、为便于时间管理设置，云终端控制器时间能够实现多种配置方法，支持从网络NTP服务同步，手动设置，同步本地时间，NTP服务地址或URL地址能够进行手工配置。</w:t>
            </w:r>
          </w:p>
          <w:p w14:paraId="0764593B">
            <w:pPr>
              <w:spacing w:after="62"/>
              <w:ind w:firstLine="480"/>
              <w:rPr>
                <w:rFonts w:ascii="宋体" w:hAnsi="宋体"/>
              </w:rPr>
            </w:pPr>
          </w:p>
        </w:tc>
      </w:tr>
      <w:tr w14:paraId="040B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801906D">
            <w:pPr>
              <w:pStyle w:val="2"/>
              <w:spacing w:after="62"/>
              <w:ind w:left="480"/>
              <w:rPr>
                <w:rFonts w:ascii="宋体" w:hAnsi="宋体"/>
              </w:rPr>
            </w:pPr>
            <w:r>
              <w:rPr>
                <w:rFonts w:ascii="宋体" w:hAnsi="宋体"/>
              </w:rPr>
              <w:t>教学交换机</w:t>
            </w:r>
          </w:p>
        </w:tc>
      </w:tr>
      <w:tr w14:paraId="41BC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BD20797">
            <w:pPr>
              <w:spacing w:after="62"/>
              <w:ind w:firstLine="480"/>
              <w:rPr>
                <w:rFonts w:hint="eastAsia" w:ascii="宋体" w:hAnsi="宋体"/>
              </w:rPr>
            </w:pPr>
            <w:r>
              <w:rPr>
                <w:rFonts w:hint="eastAsia" w:ascii="宋体" w:hAnsi="宋体"/>
              </w:rPr>
              <w:t>1、标准1U机架式设备，固化10/100/1000M自适应以太网端口≥24个，固化1G SFP光接口≥4个</w:t>
            </w:r>
          </w:p>
          <w:p w14:paraId="2AE1BD59">
            <w:pPr>
              <w:spacing w:after="62"/>
              <w:ind w:firstLine="480"/>
              <w:rPr>
                <w:rFonts w:hint="eastAsia" w:ascii="宋体" w:hAnsi="宋体"/>
              </w:rPr>
            </w:pPr>
            <w:r>
              <w:rPr>
                <w:rFonts w:hint="eastAsia" w:ascii="宋体" w:hAnsi="宋体"/>
              </w:rPr>
              <w:t>2、交换容量≥6.7Tbps，转发性能≥170Mpps</w:t>
            </w:r>
          </w:p>
          <w:p w14:paraId="09880059">
            <w:pPr>
              <w:spacing w:after="62"/>
              <w:ind w:firstLine="480"/>
              <w:rPr>
                <w:rFonts w:hint="eastAsia" w:ascii="宋体" w:hAnsi="宋体"/>
              </w:rPr>
            </w:pPr>
            <w:r>
              <w:rPr>
                <w:rFonts w:hint="eastAsia" w:ascii="宋体" w:hAnsi="宋体"/>
              </w:rPr>
              <w:t>3、要求所投设备MAC地址≥16K</w:t>
            </w:r>
          </w:p>
          <w:p w14:paraId="41A09685">
            <w:pPr>
              <w:spacing w:after="62"/>
              <w:ind w:firstLine="480"/>
              <w:rPr>
                <w:rFonts w:hint="eastAsia" w:ascii="宋体" w:hAnsi="宋体"/>
              </w:rPr>
            </w:pPr>
            <w:r>
              <w:rPr>
                <w:rFonts w:hint="eastAsia" w:ascii="宋体" w:hAnsi="宋体"/>
              </w:rPr>
              <w:t>4、支持不少于4000个IEEE 802.1Q VLAN；支持Private VLAN；支持Voice VLAN</w:t>
            </w:r>
          </w:p>
          <w:p w14:paraId="41A0DEF1">
            <w:pPr>
              <w:spacing w:after="62"/>
              <w:ind w:firstLine="480"/>
              <w:rPr>
                <w:rFonts w:hint="eastAsia" w:ascii="宋体" w:hAnsi="宋体"/>
              </w:rPr>
            </w:pPr>
            <w:r>
              <w:rPr>
                <w:rFonts w:hint="eastAsia" w:ascii="宋体" w:hAnsi="宋体"/>
              </w:rPr>
              <w:t>5、支持DHCP Server；支持DHCP Client；支持DHCP Snooping；支持DHCP Relay</w:t>
            </w:r>
          </w:p>
          <w:p w14:paraId="5E17979D">
            <w:pPr>
              <w:spacing w:after="62"/>
              <w:ind w:firstLine="480"/>
              <w:rPr>
                <w:rFonts w:hint="eastAsia" w:ascii="宋体" w:hAnsi="宋体"/>
              </w:rPr>
            </w:pPr>
            <w:r>
              <w:rPr>
                <w:rFonts w:hint="eastAsia" w:ascii="宋体" w:hAnsi="宋体"/>
              </w:rPr>
              <w:t>6、IPv4/IPv6静态路由、支持RIP、RIPng、OSPF、OSPFv3协议</w:t>
            </w:r>
          </w:p>
          <w:p w14:paraId="187FA13F">
            <w:pPr>
              <w:spacing w:after="62"/>
              <w:ind w:firstLine="480"/>
              <w:rPr>
                <w:rFonts w:hint="eastAsia" w:ascii="宋体" w:hAnsi="宋体"/>
              </w:rPr>
            </w:pPr>
            <w:r>
              <w:rPr>
                <w:rFonts w:hint="eastAsia" w:ascii="宋体" w:hAnsi="宋体"/>
              </w:rPr>
              <w:t>7、要求所投设备支持1对1、1对多、多对1和基于流的本地、远程镜像；且支持RSPAN和ERSPAN</w:t>
            </w:r>
          </w:p>
          <w:p w14:paraId="08E11D30">
            <w:pPr>
              <w:spacing w:after="62"/>
              <w:ind w:firstLine="480"/>
              <w:rPr>
                <w:rFonts w:hint="eastAsia" w:ascii="宋体" w:hAnsi="宋体"/>
              </w:rPr>
            </w:pPr>
            <w:r>
              <w:rPr>
                <w:rFonts w:hint="eastAsia" w:ascii="宋体" w:hAnsi="宋体"/>
              </w:rPr>
              <w:t>8、支持标准IP ACL；支持扩展IP ACL；支持MAC扩展ACL</w:t>
            </w:r>
          </w:p>
          <w:p w14:paraId="2941F887">
            <w:pPr>
              <w:spacing w:after="62"/>
              <w:ind w:firstLine="480"/>
              <w:rPr>
                <w:rFonts w:hint="eastAsia" w:ascii="宋体" w:hAnsi="宋体"/>
              </w:rPr>
            </w:pPr>
            <w:r>
              <w:rPr>
                <w:rFonts w:hint="eastAsia" w:ascii="宋体" w:hAnsi="宋体"/>
              </w:rPr>
              <w:t>9、支持SP、WRR、DRR、SP+WFQ、 SP+WRR、SP+DRR、RED/WRED队列调度</w:t>
            </w:r>
          </w:p>
          <w:p w14:paraId="0416E194">
            <w:pPr>
              <w:spacing w:after="62"/>
              <w:ind w:firstLine="480"/>
              <w:rPr>
                <w:rFonts w:hint="eastAsia" w:ascii="宋体" w:hAnsi="宋体"/>
              </w:rPr>
            </w:pPr>
            <w:r>
              <w:rPr>
                <w:rFonts w:hint="eastAsia" w:ascii="宋体" w:hAnsi="宋体"/>
              </w:rPr>
              <w:t>10、支持CPU保护功能，能限制非法报文对CPU的攻击，保护交换机在各种环境下稳定工作</w:t>
            </w:r>
          </w:p>
          <w:p w14:paraId="2563D754">
            <w:pPr>
              <w:spacing w:after="62"/>
              <w:ind w:firstLine="480"/>
              <w:rPr>
                <w:rFonts w:hint="eastAsia" w:ascii="宋体" w:hAnsi="宋体"/>
              </w:rPr>
            </w:pPr>
            <w:r>
              <w:rPr>
                <w:rFonts w:hint="eastAsia" w:ascii="宋体" w:hAnsi="宋体"/>
              </w:rPr>
              <w:t>11、支持专门基础网络保护机制，能够限制用户向网络中发送数据包的速率，对有攻击行为的用户进行隔离，保证设备和整网的安全稳定运行，提供相关证明材料</w:t>
            </w:r>
          </w:p>
          <w:p w14:paraId="59136DE0">
            <w:pPr>
              <w:spacing w:after="62"/>
              <w:ind w:firstLine="480"/>
              <w:rPr>
                <w:rFonts w:ascii="宋体" w:hAnsi="宋体"/>
              </w:rPr>
            </w:pPr>
            <w:r>
              <w:rPr>
                <w:rFonts w:hint="eastAsia" w:ascii="宋体" w:hAnsi="宋体"/>
              </w:rPr>
              <w:t>12、支持IEEE 802.3az标准的EEE（Energy Efficient Ethernet，节能以太网）技术</w:t>
            </w:r>
          </w:p>
        </w:tc>
      </w:tr>
      <w:tr w14:paraId="63D9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84BD18C">
            <w:pPr>
              <w:pStyle w:val="2"/>
              <w:spacing w:after="62"/>
              <w:ind w:left="480"/>
              <w:rPr>
                <w:rFonts w:hint="default"/>
                <w:lang w:val="en-US" w:eastAsia="zh-CN"/>
              </w:rPr>
            </w:pPr>
            <w:r>
              <w:rPr>
                <w:rFonts w:hint="eastAsia" w:ascii="宋体" w:hAnsi="宋体"/>
                <w:lang w:val="en-US" w:eastAsia="zh-CN"/>
              </w:rPr>
              <w:t>售后服务</w:t>
            </w:r>
          </w:p>
        </w:tc>
      </w:tr>
      <w:tr w14:paraId="366F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FF74DF8">
            <w:pPr>
              <w:spacing w:after="62"/>
              <w:ind w:left="0" w:leftChars="0" w:firstLine="480" w:firstLineChars="200"/>
              <w:rPr>
                <w:rFonts w:hint="eastAsia"/>
                <w:lang w:val="en-US" w:eastAsia="zh-CN"/>
              </w:rPr>
            </w:pPr>
            <w:r>
              <w:rPr>
                <w:rFonts w:hint="eastAsia"/>
                <w:lang w:val="en-US" w:eastAsia="zh-CN"/>
              </w:rPr>
              <w:t>售后服务：本项目涉及产品质保期一年，服务期一年</w:t>
            </w:r>
          </w:p>
        </w:tc>
      </w:tr>
    </w:tbl>
    <w:p w14:paraId="187262C2">
      <w:pPr>
        <w:spacing w:after="62"/>
        <w:ind w:left="0" w:leftChars="0" w:firstLine="0" w:firstLineChars="0"/>
        <w:rPr>
          <w:rFonts w:hint="eastAsia" w:ascii="宋体" w:hAnsi="宋体"/>
        </w:rPr>
      </w:pPr>
    </w:p>
    <w:p w14:paraId="5441283D">
      <w:pPr>
        <w:spacing w:after="62"/>
        <w:ind w:firstLine="0" w:firstLineChars="0"/>
        <w:rPr>
          <w:rFonts w:hint="eastAsia" w:ascii="宋体" w:hAnsi="宋体"/>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48BB8">
    <w:pPr>
      <w:pStyle w:val="14"/>
      <w:spacing w:after="4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F9ABC">
    <w:pPr>
      <w:pStyle w:val="14"/>
      <w:spacing w:after="4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46415">
    <w:pPr>
      <w:pStyle w:val="14"/>
      <w:spacing w:after="4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ind w:firstLine="480"/>
      </w:pPr>
      <w:r>
        <w:separator/>
      </w:r>
    </w:p>
  </w:footnote>
  <w:footnote w:type="continuationSeparator" w:id="1">
    <w:p>
      <w:pPr>
        <w:spacing w:before="0" w:after="0" w:line="288"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42416">
    <w:pPr>
      <w:pStyle w:val="15"/>
      <w:spacing w:after="4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0BC7A">
    <w:pPr>
      <w:pStyle w:val="15"/>
      <w:spacing w:after="4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A4855">
    <w:pPr>
      <w:pStyle w:val="15"/>
      <w:spacing w:after="4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F825E"/>
    <w:multiLevelType w:val="multilevel"/>
    <w:tmpl w:val="815F825E"/>
    <w:lvl w:ilvl="0" w:tentative="0">
      <w:start w:val="1"/>
      <w:numFmt w:val="chineseCounting"/>
      <w:pStyle w:val="3"/>
      <w:suff w:val="nothing"/>
      <w:lvlText w:val="%1、"/>
      <w:lvlJc w:val="left"/>
      <w:pPr>
        <w:ind w:left="480" w:firstLine="0"/>
      </w:pPr>
      <w:rPr>
        <w:rFonts w:hint="eastAsia"/>
      </w:rPr>
    </w:lvl>
    <w:lvl w:ilvl="1" w:tentative="0">
      <w:start w:val="1"/>
      <w:numFmt w:val="chineseCounting"/>
      <w:pStyle w:val="2"/>
      <w:suff w:val="nothing"/>
      <w:lvlText w:val="（%2）"/>
      <w:lvlJc w:val="left"/>
      <w:pPr>
        <w:ind w:left="480" w:firstLine="0"/>
      </w:pPr>
      <w:rPr>
        <w:rFonts w:hint="eastAsia"/>
        <w:b/>
        <w:bCs/>
        <w:sz w:val="32"/>
        <w:szCs w:val="32"/>
      </w:rPr>
    </w:lvl>
    <w:lvl w:ilvl="2" w:tentative="0">
      <w:start w:val="1"/>
      <w:numFmt w:val="decimal"/>
      <w:pStyle w:val="4"/>
      <w:suff w:val="nothing"/>
      <w:lvlText w:val="%3．"/>
      <w:lvlJc w:val="left"/>
      <w:pPr>
        <w:ind w:left="592" w:firstLine="400"/>
      </w:pPr>
      <w:rPr>
        <w:rFonts w:hint="eastAsia"/>
      </w:rPr>
    </w:lvl>
    <w:lvl w:ilvl="3" w:tentative="0">
      <w:start w:val="1"/>
      <w:numFmt w:val="decimal"/>
      <w:pStyle w:val="5"/>
      <w:suff w:val="nothing"/>
      <w:lvlText w:val="（%4）"/>
      <w:lvlJc w:val="left"/>
      <w:pPr>
        <w:ind w:left="480" w:firstLine="402"/>
      </w:pPr>
      <w:rPr>
        <w:rFonts w:hint="eastAsia"/>
      </w:rPr>
    </w:lvl>
    <w:lvl w:ilvl="4" w:tentative="0">
      <w:start w:val="1"/>
      <w:numFmt w:val="decimalEnclosedCircleChinese"/>
      <w:pStyle w:val="6"/>
      <w:suff w:val="nothing"/>
      <w:lvlText w:val="%5"/>
      <w:lvlJc w:val="left"/>
      <w:pPr>
        <w:ind w:left="480" w:firstLine="402"/>
      </w:pPr>
      <w:rPr>
        <w:rFonts w:hint="eastAsia"/>
      </w:rPr>
    </w:lvl>
    <w:lvl w:ilvl="5" w:tentative="0">
      <w:start w:val="1"/>
      <w:numFmt w:val="decimal"/>
      <w:pStyle w:val="7"/>
      <w:suff w:val="nothing"/>
      <w:lvlText w:val="%6）"/>
      <w:lvlJc w:val="left"/>
      <w:pPr>
        <w:ind w:left="480" w:firstLine="402"/>
      </w:pPr>
      <w:rPr>
        <w:rFonts w:hint="eastAsia"/>
      </w:rPr>
    </w:lvl>
    <w:lvl w:ilvl="6" w:tentative="0">
      <w:start w:val="1"/>
      <w:numFmt w:val="lowerLetter"/>
      <w:pStyle w:val="8"/>
      <w:suff w:val="nothing"/>
      <w:lvlText w:val="%7．"/>
      <w:lvlJc w:val="left"/>
      <w:pPr>
        <w:ind w:left="480" w:firstLine="402"/>
      </w:pPr>
      <w:rPr>
        <w:rFonts w:hint="eastAsia"/>
      </w:rPr>
    </w:lvl>
    <w:lvl w:ilvl="7" w:tentative="0">
      <w:start w:val="1"/>
      <w:numFmt w:val="lowerLetter"/>
      <w:pStyle w:val="9"/>
      <w:suff w:val="nothing"/>
      <w:lvlText w:val="%8）"/>
      <w:lvlJc w:val="left"/>
      <w:pPr>
        <w:ind w:left="480" w:firstLine="402"/>
      </w:pPr>
      <w:rPr>
        <w:rFonts w:hint="eastAsia"/>
      </w:rPr>
    </w:lvl>
    <w:lvl w:ilvl="8" w:tentative="0">
      <w:start w:val="1"/>
      <w:numFmt w:val="lowerRoman"/>
      <w:pStyle w:val="10"/>
      <w:suff w:val="nothing"/>
      <w:lvlText w:val="%9 "/>
      <w:lvlJc w:val="left"/>
      <w:pPr>
        <w:ind w:left="48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FkNjU3ZWU0N2U0MjA3NTE4ZGYxM2JlOWMzZjNmZmYifQ=="/>
  </w:docVars>
  <w:rsids>
    <w:rsidRoot w:val="006D4A1F"/>
    <w:rsid w:val="001B31AD"/>
    <w:rsid w:val="003E397C"/>
    <w:rsid w:val="00487E1C"/>
    <w:rsid w:val="00660A6F"/>
    <w:rsid w:val="0066445A"/>
    <w:rsid w:val="0068675A"/>
    <w:rsid w:val="006D4A1F"/>
    <w:rsid w:val="006E71E8"/>
    <w:rsid w:val="0082339C"/>
    <w:rsid w:val="00881128"/>
    <w:rsid w:val="00A901DD"/>
    <w:rsid w:val="00B33522"/>
    <w:rsid w:val="00B81AB5"/>
    <w:rsid w:val="00B861BB"/>
    <w:rsid w:val="00C160C5"/>
    <w:rsid w:val="00C200F1"/>
    <w:rsid w:val="00E12417"/>
    <w:rsid w:val="00E305A1"/>
    <w:rsid w:val="00FC27BD"/>
    <w:rsid w:val="011D4062"/>
    <w:rsid w:val="01406447"/>
    <w:rsid w:val="01A56261"/>
    <w:rsid w:val="01BE735D"/>
    <w:rsid w:val="021427AB"/>
    <w:rsid w:val="03887BE8"/>
    <w:rsid w:val="04470A30"/>
    <w:rsid w:val="048D742F"/>
    <w:rsid w:val="05304CFD"/>
    <w:rsid w:val="07D47D9E"/>
    <w:rsid w:val="07DF1AAE"/>
    <w:rsid w:val="08370CAE"/>
    <w:rsid w:val="08970143"/>
    <w:rsid w:val="091C68CF"/>
    <w:rsid w:val="0A395E0D"/>
    <w:rsid w:val="0A6439D4"/>
    <w:rsid w:val="0A6B230B"/>
    <w:rsid w:val="0AA37E47"/>
    <w:rsid w:val="0ADC467F"/>
    <w:rsid w:val="0BBE689D"/>
    <w:rsid w:val="0C240BCA"/>
    <w:rsid w:val="0D432797"/>
    <w:rsid w:val="0D8E7657"/>
    <w:rsid w:val="0DAE2FC7"/>
    <w:rsid w:val="0F3534C4"/>
    <w:rsid w:val="100B6A24"/>
    <w:rsid w:val="12E070FE"/>
    <w:rsid w:val="12E23E98"/>
    <w:rsid w:val="132D7DA2"/>
    <w:rsid w:val="13B63B73"/>
    <w:rsid w:val="151C06C5"/>
    <w:rsid w:val="16126F47"/>
    <w:rsid w:val="18555DB4"/>
    <w:rsid w:val="18D03CA0"/>
    <w:rsid w:val="19140EF5"/>
    <w:rsid w:val="1A302507"/>
    <w:rsid w:val="1AFF658A"/>
    <w:rsid w:val="1BF75AD4"/>
    <w:rsid w:val="1BFB4D26"/>
    <w:rsid w:val="1C314E69"/>
    <w:rsid w:val="1CE73A46"/>
    <w:rsid w:val="1D0F4F9D"/>
    <w:rsid w:val="1D4529C5"/>
    <w:rsid w:val="1E1C7453"/>
    <w:rsid w:val="1EB84A4D"/>
    <w:rsid w:val="1EE055DB"/>
    <w:rsid w:val="20A62F40"/>
    <w:rsid w:val="20EB3653"/>
    <w:rsid w:val="2160143A"/>
    <w:rsid w:val="21AB08E9"/>
    <w:rsid w:val="275D6B12"/>
    <w:rsid w:val="29466967"/>
    <w:rsid w:val="295F5CB6"/>
    <w:rsid w:val="2A0022E2"/>
    <w:rsid w:val="2A6B7697"/>
    <w:rsid w:val="2AB62F3E"/>
    <w:rsid w:val="2AD76BDC"/>
    <w:rsid w:val="2B1C0A93"/>
    <w:rsid w:val="2CFB6486"/>
    <w:rsid w:val="2D404F16"/>
    <w:rsid w:val="2E267445"/>
    <w:rsid w:val="2E511C06"/>
    <w:rsid w:val="2EF609E3"/>
    <w:rsid w:val="30621321"/>
    <w:rsid w:val="33E91D9A"/>
    <w:rsid w:val="33F00D0E"/>
    <w:rsid w:val="34014CC9"/>
    <w:rsid w:val="36581D34"/>
    <w:rsid w:val="36D03F92"/>
    <w:rsid w:val="37F10325"/>
    <w:rsid w:val="38CE503D"/>
    <w:rsid w:val="390C18D4"/>
    <w:rsid w:val="39EF48FE"/>
    <w:rsid w:val="3A2A42BB"/>
    <w:rsid w:val="3A854E89"/>
    <w:rsid w:val="3ABD6744"/>
    <w:rsid w:val="3D5358A8"/>
    <w:rsid w:val="3DB7359E"/>
    <w:rsid w:val="3E7B0467"/>
    <w:rsid w:val="3F690ED9"/>
    <w:rsid w:val="3FA537F3"/>
    <w:rsid w:val="40354738"/>
    <w:rsid w:val="405A41B4"/>
    <w:rsid w:val="407C0469"/>
    <w:rsid w:val="408C74E1"/>
    <w:rsid w:val="40A1586A"/>
    <w:rsid w:val="425F2FF6"/>
    <w:rsid w:val="436909CE"/>
    <w:rsid w:val="44645086"/>
    <w:rsid w:val="455567DD"/>
    <w:rsid w:val="464573BA"/>
    <w:rsid w:val="468924BE"/>
    <w:rsid w:val="46A00372"/>
    <w:rsid w:val="47102D15"/>
    <w:rsid w:val="483F036E"/>
    <w:rsid w:val="48667CE0"/>
    <w:rsid w:val="486F7BE2"/>
    <w:rsid w:val="4893505A"/>
    <w:rsid w:val="48A90532"/>
    <w:rsid w:val="49121A25"/>
    <w:rsid w:val="49CD343F"/>
    <w:rsid w:val="4B920F18"/>
    <w:rsid w:val="4C870D4D"/>
    <w:rsid w:val="4CAD5C30"/>
    <w:rsid w:val="4F747DB5"/>
    <w:rsid w:val="506E22DF"/>
    <w:rsid w:val="50C34129"/>
    <w:rsid w:val="50F276C1"/>
    <w:rsid w:val="51CD39F5"/>
    <w:rsid w:val="525A4609"/>
    <w:rsid w:val="52EE72E8"/>
    <w:rsid w:val="53F76813"/>
    <w:rsid w:val="54003E1F"/>
    <w:rsid w:val="54023637"/>
    <w:rsid w:val="54AA63C9"/>
    <w:rsid w:val="54B5148C"/>
    <w:rsid w:val="5755438D"/>
    <w:rsid w:val="578E2369"/>
    <w:rsid w:val="58670E0F"/>
    <w:rsid w:val="5B6C3DB3"/>
    <w:rsid w:val="5BB122BF"/>
    <w:rsid w:val="5CDD30E6"/>
    <w:rsid w:val="5D763C8C"/>
    <w:rsid w:val="5F093854"/>
    <w:rsid w:val="601B0E62"/>
    <w:rsid w:val="61051B90"/>
    <w:rsid w:val="61581454"/>
    <w:rsid w:val="6252681B"/>
    <w:rsid w:val="62D00754"/>
    <w:rsid w:val="64A27409"/>
    <w:rsid w:val="65932960"/>
    <w:rsid w:val="66C73CFE"/>
    <w:rsid w:val="671169F6"/>
    <w:rsid w:val="67320E1E"/>
    <w:rsid w:val="67BC58F2"/>
    <w:rsid w:val="68CF0917"/>
    <w:rsid w:val="692650E4"/>
    <w:rsid w:val="69C566D9"/>
    <w:rsid w:val="6A5005D7"/>
    <w:rsid w:val="6A987242"/>
    <w:rsid w:val="6B825C38"/>
    <w:rsid w:val="6BE34844"/>
    <w:rsid w:val="6C2036EA"/>
    <w:rsid w:val="6F0037C4"/>
    <w:rsid w:val="6F704BFA"/>
    <w:rsid w:val="6FE8130D"/>
    <w:rsid w:val="70C86FC5"/>
    <w:rsid w:val="7145755A"/>
    <w:rsid w:val="76706EDC"/>
    <w:rsid w:val="76742419"/>
    <w:rsid w:val="76E223F4"/>
    <w:rsid w:val="77041812"/>
    <w:rsid w:val="77467514"/>
    <w:rsid w:val="792D6324"/>
    <w:rsid w:val="79C6002A"/>
    <w:rsid w:val="7A57156E"/>
    <w:rsid w:val="7A7059B7"/>
    <w:rsid w:val="7AF21DD3"/>
    <w:rsid w:val="7BFB52EC"/>
    <w:rsid w:val="7C1D3C22"/>
    <w:rsid w:val="7FA97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after="20" w:afterLines="20" w:line="288" w:lineRule="auto"/>
      <w:ind w:firstLine="640" w:firstLineChars="200"/>
      <w:jc w:val="both"/>
    </w:pPr>
    <w:rPr>
      <w:rFonts w:ascii="Calibri" w:hAnsi="Calibri" w:eastAsia="宋体" w:cs="Times New Roman"/>
      <w:kern w:val="2"/>
      <w:sz w:val="24"/>
      <w:szCs w:val="24"/>
      <w:lang w:val="en-US" w:eastAsia="zh-CN" w:bidi="ar-SA"/>
    </w:rPr>
  </w:style>
  <w:style w:type="paragraph" w:styleId="3">
    <w:name w:val="heading 1"/>
    <w:next w:val="1"/>
    <w:link w:val="24"/>
    <w:qFormat/>
    <w:uiPriority w:val="0"/>
    <w:pPr>
      <w:numPr>
        <w:ilvl w:val="0"/>
        <w:numId w:val="1"/>
      </w:numPr>
      <w:spacing w:before="380" w:after="140" w:line="288" w:lineRule="auto"/>
      <w:ind w:left="0"/>
      <w:outlineLvl w:val="0"/>
    </w:pPr>
    <w:rPr>
      <w:rFonts w:ascii="Arial" w:hAnsi="Arial" w:eastAsia="等线" w:cs="Arial"/>
      <w:b/>
      <w:bCs/>
      <w:sz w:val="32"/>
      <w:szCs w:val="36"/>
      <w:lang w:val="en-US" w:eastAsia="zh-CN" w:bidi="ar-SA"/>
    </w:rPr>
  </w:style>
  <w:style w:type="paragraph" w:styleId="2">
    <w:name w:val="heading 2"/>
    <w:basedOn w:val="1"/>
    <w:next w:val="1"/>
    <w:link w:val="25"/>
    <w:unhideWhenUsed/>
    <w:qFormat/>
    <w:uiPriority w:val="0"/>
    <w:pPr>
      <w:keepNext/>
      <w:keepLines/>
      <w:numPr>
        <w:ilvl w:val="1"/>
        <w:numId w:val="1"/>
      </w:numPr>
      <w:spacing w:before="260" w:after="260" w:line="360" w:lineRule="auto"/>
      <w:ind w:left="0" w:firstLineChars="0"/>
      <w:outlineLvl w:val="1"/>
    </w:pPr>
    <w:rPr>
      <w:rFonts w:asciiTheme="majorHAnsi" w:hAnsiTheme="majorHAnsi" w:cstheme="majorBidi"/>
      <w:b/>
      <w:bCs/>
      <w:sz w:val="32"/>
      <w:szCs w:val="32"/>
    </w:rPr>
  </w:style>
  <w:style w:type="paragraph" w:styleId="4">
    <w:name w:val="heading 3"/>
    <w:basedOn w:val="1"/>
    <w:next w:val="1"/>
    <w:link w:val="26"/>
    <w:unhideWhenUsed/>
    <w:qFormat/>
    <w:uiPriority w:val="0"/>
    <w:pPr>
      <w:keepNext/>
      <w:keepLines/>
      <w:numPr>
        <w:ilvl w:val="2"/>
        <w:numId w:val="1"/>
      </w:numPr>
      <w:spacing w:before="260" w:after="260" w:line="360" w:lineRule="auto"/>
      <w:outlineLvl w:val="2"/>
    </w:pPr>
    <w:rPr>
      <w:rFonts w:asciiTheme="majorHAnsi" w:hAnsiTheme="majorHAnsi"/>
      <w:b/>
      <w:bCs/>
      <w:sz w:val="30"/>
      <w:szCs w:val="30"/>
    </w:rPr>
  </w:style>
  <w:style w:type="paragraph" w:styleId="5">
    <w:name w:val="heading 4"/>
    <w:next w:val="1"/>
    <w:semiHidden/>
    <w:unhideWhenUsed/>
    <w:qFormat/>
    <w:uiPriority w:val="0"/>
    <w:pPr>
      <w:numPr>
        <w:ilvl w:val="3"/>
        <w:numId w:val="1"/>
      </w:numPr>
      <w:spacing w:before="260" w:after="120" w:line="288" w:lineRule="auto"/>
      <w:ind w:left="0"/>
      <w:outlineLvl w:val="3"/>
    </w:pPr>
    <w:rPr>
      <w:rFonts w:ascii="Arial" w:hAnsi="Arial" w:eastAsia="等线" w:cs="Arial"/>
      <w:b/>
      <w:bCs/>
      <w:sz w:val="28"/>
      <w:szCs w:val="28"/>
      <w:lang w:val="en-US" w:eastAsia="zh-CN" w:bidi="ar-SA"/>
    </w:rPr>
  </w:style>
  <w:style w:type="paragraph" w:styleId="6">
    <w:name w:val="heading 5"/>
    <w:basedOn w:val="1"/>
    <w:next w:val="1"/>
    <w:semiHidden/>
    <w:unhideWhenUsed/>
    <w:qFormat/>
    <w:uiPriority w:val="0"/>
    <w:pPr>
      <w:keepNext/>
      <w:keepLines/>
      <w:numPr>
        <w:ilvl w:val="4"/>
        <w:numId w:val="1"/>
      </w:numPr>
      <w:spacing w:before="280" w:after="290" w:afterLines="0" w:line="372" w:lineRule="auto"/>
      <w:ind w:left="0" w:firstLine="0" w:firstLineChars="0"/>
      <w:outlineLvl w:val="4"/>
    </w:pPr>
  </w:style>
  <w:style w:type="paragraph" w:styleId="7">
    <w:name w:val="heading 6"/>
    <w:basedOn w:val="1"/>
    <w:next w:val="1"/>
    <w:semiHidden/>
    <w:unhideWhenUsed/>
    <w:qFormat/>
    <w:uiPriority w:val="0"/>
    <w:pPr>
      <w:keepNext/>
      <w:keepLines/>
      <w:numPr>
        <w:ilvl w:val="5"/>
        <w:numId w:val="1"/>
      </w:numPr>
      <w:spacing w:before="240" w:after="64" w:afterLines="0" w:line="317" w:lineRule="auto"/>
      <w:ind w:left="0" w:firstLine="0" w:firstLineChars="0"/>
      <w:outlineLvl w:val="5"/>
    </w:pPr>
    <w:rPr>
      <w:rFonts w:ascii="Arial" w:hAnsi="Arial" w:eastAsia="黑体"/>
      <w:b/>
    </w:rPr>
  </w:style>
  <w:style w:type="paragraph" w:styleId="8">
    <w:name w:val="heading 7"/>
    <w:basedOn w:val="1"/>
    <w:next w:val="1"/>
    <w:semiHidden/>
    <w:unhideWhenUsed/>
    <w:qFormat/>
    <w:uiPriority w:val="0"/>
    <w:pPr>
      <w:keepNext/>
      <w:keepLines/>
      <w:numPr>
        <w:ilvl w:val="6"/>
        <w:numId w:val="1"/>
      </w:numPr>
      <w:spacing w:before="240" w:after="64" w:afterLines="0" w:line="317" w:lineRule="auto"/>
      <w:ind w:left="0" w:firstLine="0" w:firstLineChars="0"/>
      <w:outlineLvl w:val="6"/>
    </w:pPr>
    <w:rPr>
      <w:b/>
    </w:rPr>
  </w:style>
  <w:style w:type="paragraph" w:styleId="9">
    <w:name w:val="heading 8"/>
    <w:basedOn w:val="1"/>
    <w:next w:val="1"/>
    <w:semiHidden/>
    <w:unhideWhenUsed/>
    <w:qFormat/>
    <w:uiPriority w:val="0"/>
    <w:pPr>
      <w:keepNext/>
      <w:keepLines/>
      <w:numPr>
        <w:ilvl w:val="7"/>
        <w:numId w:val="1"/>
      </w:numPr>
      <w:spacing w:before="240" w:after="64" w:afterLines="0" w:line="317" w:lineRule="auto"/>
      <w:ind w:left="0" w:firstLine="0" w:firstLineChars="0"/>
      <w:outlineLvl w:val="7"/>
    </w:pPr>
    <w:rPr>
      <w:rFonts w:ascii="Arial" w:hAnsi="Arial" w:eastAsia="黑体"/>
    </w:rPr>
  </w:style>
  <w:style w:type="paragraph" w:styleId="10">
    <w:name w:val="heading 9"/>
    <w:basedOn w:val="1"/>
    <w:next w:val="1"/>
    <w:semiHidden/>
    <w:unhideWhenUsed/>
    <w:qFormat/>
    <w:uiPriority w:val="0"/>
    <w:pPr>
      <w:keepNext/>
      <w:keepLines/>
      <w:numPr>
        <w:ilvl w:val="8"/>
        <w:numId w:val="1"/>
      </w:numPr>
      <w:spacing w:before="240" w:after="64" w:afterLines="0" w:line="317" w:lineRule="auto"/>
      <w:ind w:left="0" w:firstLine="0" w:firstLineChars="0"/>
      <w:outlineLvl w:val="8"/>
    </w:pPr>
    <w:rPr>
      <w:rFonts w:ascii="Arial" w:hAnsi="Arial" w:eastAsia="黑体"/>
      <w:sz w:val="21"/>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ind w:firstLine="420"/>
    </w:pPr>
  </w:style>
  <w:style w:type="paragraph" w:styleId="12">
    <w:name w:val="annotation text"/>
    <w:basedOn w:val="1"/>
    <w:qFormat/>
    <w:uiPriority w:val="0"/>
    <w:pPr>
      <w:jc w:val="left"/>
    </w:pPr>
  </w:style>
  <w:style w:type="paragraph" w:styleId="13">
    <w:name w:val="Body Text"/>
    <w:basedOn w:val="1"/>
    <w:qFormat/>
    <w:uiPriority w:val="0"/>
    <w:pPr>
      <w:jc w:val="center"/>
    </w:pPr>
    <w:rPr>
      <w:rFonts w:ascii="Arial" w:hAnsi="Arial" w:eastAsia="黑体" w:cs="Arial"/>
      <w:b/>
      <w:snapToGrid w:val="0"/>
      <w:color w:val="000000"/>
      <w:kern w:val="0"/>
      <w:sz w:val="28"/>
      <w:szCs w:val="21"/>
      <w:lang w:eastAsia="en-US"/>
    </w:rPr>
  </w:style>
  <w:style w:type="paragraph" w:styleId="14">
    <w:name w:val="footer"/>
    <w:basedOn w:val="1"/>
    <w:link w:val="33"/>
    <w:qFormat/>
    <w:uiPriority w:val="0"/>
    <w:pPr>
      <w:tabs>
        <w:tab w:val="center" w:pos="4153"/>
        <w:tab w:val="right" w:pos="8306"/>
      </w:tabs>
      <w:spacing w:line="240" w:lineRule="auto"/>
      <w:jc w:val="left"/>
    </w:pPr>
    <w:rPr>
      <w:sz w:val="18"/>
      <w:szCs w:val="18"/>
    </w:rPr>
  </w:style>
  <w:style w:type="paragraph" w:styleId="15">
    <w:name w:val="header"/>
    <w:basedOn w:val="1"/>
    <w:link w:val="32"/>
    <w:qFormat/>
    <w:uiPriority w:val="0"/>
    <w:pPr>
      <w:tabs>
        <w:tab w:val="center" w:pos="4153"/>
        <w:tab w:val="right" w:pos="8306"/>
      </w:tabs>
      <w:spacing w:line="240" w:lineRule="auto"/>
      <w:jc w:val="center"/>
    </w:pPr>
    <w:rPr>
      <w:sz w:val="18"/>
      <w:szCs w:val="18"/>
    </w:rPr>
  </w:style>
  <w:style w:type="paragraph" w:styleId="16">
    <w:name w:val="toc 2"/>
    <w:basedOn w:val="1"/>
    <w:next w:val="1"/>
    <w:qFormat/>
    <w:uiPriority w:val="0"/>
    <w:pPr>
      <w:ind w:left="420" w:leftChars="200" w:firstLine="0" w:firstLineChars="0"/>
    </w:pPr>
  </w:style>
  <w:style w:type="paragraph" w:styleId="1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rPr>
  </w:style>
  <w:style w:type="paragraph" w:styleId="18">
    <w:name w:val="Normal (Web)"/>
    <w:basedOn w:val="1"/>
    <w:qFormat/>
    <w:uiPriority w:val="0"/>
    <w:pPr>
      <w:spacing w:beforeAutospacing="1" w:after="0" w:afterAutospacing="1"/>
      <w:jc w:val="left"/>
    </w:pPr>
    <w:rPr>
      <w:kern w:val="0"/>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annotation reference"/>
    <w:basedOn w:val="21"/>
    <w:qFormat/>
    <w:uiPriority w:val="0"/>
    <w:rPr>
      <w:sz w:val="21"/>
      <w:szCs w:val="21"/>
    </w:rPr>
  </w:style>
  <w:style w:type="paragraph" w:customStyle="1" w:styleId="23">
    <w:name w:val="正文去缩进"/>
    <w:basedOn w:val="1"/>
    <w:qFormat/>
    <w:uiPriority w:val="0"/>
    <w:pPr>
      <w:ind w:firstLine="0" w:firstLineChars="0"/>
      <w:textAlignment w:val="center"/>
    </w:pPr>
    <w:rPr>
      <w:rFonts w:hint="eastAsia" w:ascii="宋体" w:hAnsi="宋体"/>
      <w:szCs w:val="22"/>
    </w:rPr>
  </w:style>
  <w:style w:type="character" w:customStyle="1" w:styleId="24">
    <w:name w:val="标题 1 字符"/>
    <w:basedOn w:val="21"/>
    <w:link w:val="3"/>
    <w:autoRedefine/>
    <w:qFormat/>
    <w:uiPriority w:val="0"/>
    <w:rPr>
      <w:rFonts w:ascii="Arial" w:hAnsi="Arial" w:eastAsia="等线" w:cs="Arial"/>
      <w:b/>
      <w:bCs/>
      <w:kern w:val="44"/>
      <w:sz w:val="32"/>
      <w:szCs w:val="44"/>
      <w:lang w:eastAsia="zh-CN"/>
    </w:rPr>
  </w:style>
  <w:style w:type="character" w:customStyle="1" w:styleId="25">
    <w:name w:val="标题 2 字符"/>
    <w:basedOn w:val="21"/>
    <w:link w:val="2"/>
    <w:autoRedefine/>
    <w:qFormat/>
    <w:uiPriority w:val="0"/>
    <w:rPr>
      <w:rFonts w:eastAsia="宋体" w:asciiTheme="majorHAnsi" w:hAnsiTheme="majorHAnsi" w:cstheme="majorBidi"/>
      <w:b/>
      <w:bCs/>
      <w:sz w:val="32"/>
      <w:szCs w:val="32"/>
    </w:rPr>
  </w:style>
  <w:style w:type="character" w:customStyle="1" w:styleId="26">
    <w:name w:val="标题 3 字符"/>
    <w:basedOn w:val="21"/>
    <w:link w:val="4"/>
    <w:qFormat/>
    <w:uiPriority w:val="0"/>
    <w:rPr>
      <w:rFonts w:eastAsia="宋体" w:asciiTheme="majorHAnsi" w:hAnsiTheme="majorHAnsi"/>
      <w:b/>
      <w:bCs/>
      <w:sz w:val="30"/>
      <w:szCs w:val="30"/>
    </w:rPr>
  </w:style>
  <w:style w:type="paragraph" w:customStyle="1" w:styleId="27">
    <w:name w:val="正文2"/>
    <w:basedOn w:val="1"/>
    <w:qFormat/>
    <w:uiPriority w:val="0"/>
    <w:pPr>
      <w:spacing w:before="181" w:line="224" w:lineRule="auto"/>
      <w:jc w:val="center"/>
      <w:outlineLvl w:val="0"/>
    </w:pPr>
    <w:rPr>
      <w:rFonts w:ascii="黑体" w:hAnsi="黑体" w:eastAsia="黑体" w:cs="黑体"/>
      <w:b/>
      <w:bCs/>
      <w:snapToGrid w:val="0"/>
      <w:color w:val="000000"/>
      <w:spacing w:val="-3"/>
      <w:kern w:val="0"/>
      <w:sz w:val="28"/>
      <w:szCs w:val="28"/>
      <w:lang w:eastAsia="en-US"/>
    </w:rPr>
  </w:style>
  <w:style w:type="paragraph" w:customStyle="1" w:styleId="28">
    <w:name w:val="列表段落1"/>
    <w:basedOn w:val="1"/>
    <w:qFormat/>
    <w:uiPriority w:val="34"/>
    <w:pPr>
      <w:ind w:firstLine="420"/>
    </w:pPr>
    <w:rPr>
      <w:szCs w:val="22"/>
    </w:rPr>
  </w:style>
  <w:style w:type="paragraph" w:customStyle="1" w:styleId="29">
    <w:name w:val="wang正文"/>
    <w:basedOn w:val="1"/>
    <w:qFormat/>
    <w:uiPriority w:val="0"/>
    <w:pPr>
      <w:tabs>
        <w:tab w:val="left" w:pos="6840"/>
      </w:tabs>
      <w:topLinePunct/>
      <w:ind w:firstLine="420"/>
    </w:pPr>
    <w:rPr>
      <w:kern w:val="0"/>
    </w:rPr>
  </w:style>
  <w:style w:type="paragraph" w:customStyle="1" w:styleId="30">
    <w:name w:val="表格正文"/>
    <w:basedOn w:val="1"/>
    <w:qFormat/>
    <w:uiPriority w:val="0"/>
    <w:pPr>
      <w:jc w:val="center"/>
    </w:pPr>
    <w:rPr>
      <w:rFonts w:ascii="仿宋" w:hAnsi="仿宋" w:cs="仿宋"/>
      <w:szCs w:val="20"/>
    </w:rPr>
  </w:style>
  <w:style w:type="paragraph" w:customStyle="1" w:styleId="31">
    <w:name w:val="Table Paragraph"/>
    <w:basedOn w:val="1"/>
    <w:qFormat/>
    <w:uiPriority w:val="1"/>
    <w:pPr>
      <w:autoSpaceDE w:val="0"/>
      <w:autoSpaceDN w:val="0"/>
      <w:jc w:val="left"/>
    </w:pPr>
    <w:rPr>
      <w:rFonts w:ascii="宋体" w:hAnsi="宋体" w:cs="宋体"/>
      <w:kern w:val="0"/>
      <w:sz w:val="22"/>
      <w:lang w:val="zh-CN" w:bidi="zh-CN"/>
    </w:rPr>
  </w:style>
  <w:style w:type="character" w:customStyle="1" w:styleId="32">
    <w:name w:val="页眉 字符"/>
    <w:basedOn w:val="21"/>
    <w:link w:val="15"/>
    <w:qFormat/>
    <w:uiPriority w:val="0"/>
    <w:rPr>
      <w:rFonts w:ascii="Calibri" w:hAnsi="Calibri"/>
      <w:kern w:val="2"/>
      <w:sz w:val="18"/>
      <w:szCs w:val="18"/>
    </w:rPr>
  </w:style>
  <w:style w:type="character" w:customStyle="1" w:styleId="33">
    <w:name w:val="页脚 字符"/>
    <w:basedOn w:val="21"/>
    <w:link w:val="1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1313</Words>
  <Characters>1552</Characters>
  <Lines>133</Lines>
  <Paragraphs>37</Paragraphs>
  <TotalTime>0</TotalTime>
  <ScaleCrop>false</ScaleCrop>
  <LinksUpToDate>false</LinksUpToDate>
  <CharactersWithSpaces>1573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2025-12-16T02:14:00Z</dcterms:created>
  <dc:creator>gongl</dc:creator>
  <cp:lastModifiedBy>添添bliss</cp:lastModifiedBy>
  <dcterms:modified xsi:type="dcterms:W3CDTF">2026-03-19T06:27:46Z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48D9936185684B729B9B59F24300C17C_13</vt:lpwstr>
  </property>
  <property fmtid="{D5CDD505-2E9C-101B-9397-08002B2CF9AE}" pid="4" name="KSOTemplateDocerSaveRecord">
    <vt:lpwstr>eyJoZGlkIjoiYzdkZTk4MWI4MzJhMGY4ZTczMTkxYTYyZDVlNGI0ZGEiLCJ1c2VySWQiOiI0Mzk2MzM0MjkifQ==</vt:lpwstr>
  </property>
</Properties>
</file>