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39E04">
      <w:pPr>
        <w:spacing w:line="560" w:lineRule="exact"/>
        <w:jc w:val="center"/>
        <w:rPr>
          <w:rFonts w:hint="eastAsia" w:eastAsia="方正小标宋简体"/>
          <w:lang w:eastAsia="zh-CN"/>
        </w:rPr>
      </w:pPr>
      <w:r>
        <w:rPr>
          <w:rFonts w:hint="eastAsia" w:ascii="方正小标宋简体" w:hAnsi="方正小标宋简体" w:eastAsia="方正小标宋简体"/>
          <w:sz w:val="44"/>
          <w:szCs w:val="44"/>
        </w:rPr>
        <w:t>黑龙江农业职业技术学院人工智能联合实验室项目建设方案</w:t>
      </w:r>
      <w:r>
        <w:rPr>
          <w:rFonts w:hint="eastAsia" w:ascii="方正小标宋简体" w:hAnsi="方正小标宋简体" w:eastAsia="方正小标宋简体"/>
          <w:sz w:val="44"/>
          <w:szCs w:val="44"/>
          <w:lang w:eastAsia="zh-CN"/>
        </w:rPr>
        <w:t>（</w:t>
      </w:r>
      <w:r>
        <w:rPr>
          <w:rFonts w:hint="eastAsia" w:ascii="方正小标宋简体" w:hAnsi="方正小标宋简体" w:eastAsia="方正小标宋简体"/>
          <w:sz w:val="44"/>
          <w:szCs w:val="44"/>
          <w:lang w:val="en-US" w:eastAsia="zh-CN"/>
        </w:rPr>
        <w:t>一期</w:t>
      </w:r>
      <w:r>
        <w:rPr>
          <w:rFonts w:hint="eastAsia" w:ascii="方正小标宋简体" w:hAnsi="方正小标宋简体" w:eastAsia="方正小标宋简体"/>
          <w:sz w:val="44"/>
          <w:szCs w:val="44"/>
          <w:lang w:eastAsia="zh-CN"/>
        </w:rPr>
        <w:t>）</w:t>
      </w:r>
    </w:p>
    <w:p w14:paraId="691E6EBF">
      <w:pPr>
        <w:spacing w:line="560" w:lineRule="exact"/>
        <w:ind w:firstLine="640"/>
        <w:jc w:val="left"/>
      </w:pPr>
      <w:r>
        <w:rPr>
          <w:rFonts w:hint="eastAsia" w:ascii="黑体" w:hAnsi="黑体" w:eastAsia="黑体"/>
          <w:sz w:val="32"/>
          <w:szCs w:val="32"/>
        </w:rPr>
        <w:t>一、项目总论</w:t>
      </w:r>
    </w:p>
    <w:p w14:paraId="199B8F62">
      <w:pPr>
        <w:spacing w:line="560" w:lineRule="exact"/>
        <w:ind w:firstLine="640"/>
        <w:jc w:val="left"/>
      </w:pPr>
      <w:r>
        <w:rPr>
          <w:rFonts w:hint="eastAsia" w:ascii="楷体" w:hAnsi="楷体" w:eastAsia="楷体"/>
          <w:sz w:val="32"/>
          <w:szCs w:val="32"/>
        </w:rPr>
        <w:t>（一）项目名称</w:t>
      </w:r>
    </w:p>
    <w:p w14:paraId="5DB686EC">
      <w:pPr>
        <w:spacing w:line="560" w:lineRule="exact"/>
        <w:ind w:firstLine="640"/>
        <w:jc w:val="left"/>
      </w:pPr>
      <w:r>
        <w:rPr>
          <w:rFonts w:hint="eastAsia" w:ascii="仿宋_GB2312" w:hAnsi="仿宋_GB2312" w:eastAsia="仿宋_GB2312"/>
          <w:sz w:val="32"/>
          <w:szCs w:val="32"/>
          <w:lang w:val="en-US" w:eastAsia="zh-CN"/>
        </w:rPr>
        <w:t>黑龙江农业职业技术学院</w:t>
      </w:r>
      <w:r>
        <w:rPr>
          <w:rFonts w:hint="eastAsia" w:ascii="仿宋_GB2312" w:hAnsi="仿宋_GB2312" w:eastAsia="仿宋_GB2312"/>
          <w:sz w:val="32"/>
          <w:szCs w:val="32"/>
        </w:rPr>
        <w:t>人工智能联合实验室项目</w:t>
      </w:r>
    </w:p>
    <w:p w14:paraId="3CC33FA4">
      <w:pPr>
        <w:spacing w:line="560" w:lineRule="exact"/>
        <w:ind w:firstLine="640"/>
        <w:jc w:val="left"/>
      </w:pPr>
      <w:r>
        <w:rPr>
          <w:rFonts w:hint="eastAsia" w:ascii="楷体" w:hAnsi="楷体" w:eastAsia="楷体"/>
          <w:sz w:val="32"/>
          <w:szCs w:val="32"/>
        </w:rPr>
        <w:t>（二）建设单位</w:t>
      </w:r>
    </w:p>
    <w:p w14:paraId="0536DE99">
      <w:pPr>
        <w:spacing w:line="560" w:lineRule="exact"/>
        <w:ind w:firstLine="640"/>
        <w:jc w:val="left"/>
      </w:pPr>
      <w:r>
        <w:rPr>
          <w:rFonts w:hint="eastAsia" w:ascii="仿宋_GB2312" w:hAnsi="仿宋_GB2312" w:eastAsia="仿宋_GB2312"/>
          <w:sz w:val="32"/>
          <w:szCs w:val="32"/>
        </w:rPr>
        <w:t>黑龙江农业职业技术学院</w:t>
      </w:r>
    </w:p>
    <w:p w14:paraId="3B4EE54C">
      <w:pPr>
        <w:spacing w:line="560" w:lineRule="exact"/>
        <w:ind w:firstLine="640"/>
        <w:jc w:val="left"/>
      </w:pPr>
      <w:r>
        <w:rPr>
          <w:rFonts w:hint="eastAsia" w:ascii="楷体" w:hAnsi="楷体" w:eastAsia="楷体"/>
          <w:sz w:val="32"/>
          <w:szCs w:val="32"/>
        </w:rPr>
        <w:t>（三）建设地点</w:t>
      </w:r>
    </w:p>
    <w:p w14:paraId="1DCBDB63">
      <w:pPr>
        <w:spacing w:line="560" w:lineRule="exact"/>
        <w:ind w:firstLine="640"/>
        <w:jc w:val="left"/>
      </w:pPr>
      <w:r>
        <w:rPr>
          <w:rFonts w:hint="eastAsia" w:ascii="仿宋_GB2312" w:hAnsi="仿宋_GB2312" w:eastAsia="仿宋_GB2312"/>
          <w:sz w:val="32"/>
          <w:szCs w:val="32"/>
        </w:rPr>
        <w:t>黑龙江农业职业技术学院</w:t>
      </w:r>
      <w:r>
        <w:rPr>
          <w:rFonts w:hint="eastAsia" w:ascii="仿宋_GB2312" w:hAnsi="仿宋_GB2312" w:eastAsia="仿宋_GB2312"/>
          <w:sz w:val="32"/>
          <w:szCs w:val="32"/>
          <w:highlight w:val="none"/>
          <w:lang w:val="en-US" w:eastAsia="zh-CN"/>
        </w:rPr>
        <w:t>第六教学</w:t>
      </w:r>
      <w:r>
        <w:rPr>
          <w:rFonts w:hint="eastAsia" w:ascii="仿宋_GB2312" w:hAnsi="仿宋_GB2312" w:eastAsia="仿宋_GB2312"/>
          <w:sz w:val="32"/>
          <w:szCs w:val="32"/>
          <w:highlight w:val="none"/>
        </w:rPr>
        <w:t>实训楼</w:t>
      </w:r>
    </w:p>
    <w:p w14:paraId="70A9188A">
      <w:pPr>
        <w:spacing w:line="560" w:lineRule="exact"/>
        <w:ind w:firstLine="640"/>
        <w:jc w:val="left"/>
      </w:pPr>
      <w:r>
        <w:rPr>
          <w:rFonts w:hint="eastAsia" w:ascii="楷体" w:hAnsi="楷体" w:eastAsia="楷体"/>
          <w:sz w:val="32"/>
          <w:szCs w:val="32"/>
        </w:rPr>
        <w:t>（四）项目基础概况</w:t>
      </w:r>
    </w:p>
    <w:p w14:paraId="0F51CD3B">
      <w:pPr>
        <w:spacing w:line="560" w:lineRule="exact"/>
        <w:ind w:firstLine="640"/>
        <w:jc w:val="left"/>
      </w:pPr>
      <w:r>
        <w:rPr>
          <w:rFonts w:hint="eastAsia" w:ascii="仿宋_GB2312" w:hAnsi="仿宋_GB2312" w:eastAsia="仿宋_GB2312"/>
          <w:sz w:val="32"/>
          <w:szCs w:val="32"/>
        </w:rPr>
        <w:t>我校智慧农业专业群为黑龙江省第三轮</w:t>
      </w:r>
      <w:r>
        <w:rPr>
          <w:rFonts w:hint="eastAsia" w:ascii="仿宋_GB2312" w:hAnsi="仿宋_GB2312" w:eastAsia="仿宋_GB2312"/>
          <w:sz w:val="32"/>
          <w:szCs w:val="32"/>
          <w:lang w:eastAsia="zh-CN"/>
        </w:rPr>
        <w:t>“双高”</w:t>
      </w:r>
      <w:r>
        <w:rPr>
          <w:rFonts w:hint="eastAsia" w:ascii="仿宋_GB2312" w:hAnsi="仿宋_GB2312" w:eastAsia="仿宋_GB2312"/>
          <w:sz w:val="32"/>
          <w:szCs w:val="32"/>
        </w:rPr>
        <w:t>专业群，开设智慧农业技术与装备、人工智能技术应用、大数据技术等专业，每年招生规模稳定在600人以上，主要面向黑龙江寒地农业培育数字农业技术技能人才。2026年，学校结合专业教学、科研、社会培训实际需求，依托中华职业教育社职业指导中心与北京航空航天大学人工智能联合实验室资源，启动高寒农业具身智能数据采集与模型训练实训平台建设工作。</w:t>
      </w:r>
    </w:p>
    <w:p w14:paraId="60E5B569">
      <w:pPr>
        <w:spacing w:line="560" w:lineRule="exact"/>
        <w:ind w:firstLine="640"/>
        <w:jc w:val="left"/>
      </w:pPr>
      <w:r>
        <w:rPr>
          <w:rFonts w:hint="eastAsia" w:ascii="楷体" w:hAnsi="楷体" w:eastAsia="楷体"/>
          <w:sz w:val="32"/>
          <w:szCs w:val="32"/>
        </w:rPr>
        <w:t>（五）总体建设目标</w:t>
      </w:r>
    </w:p>
    <w:p w14:paraId="3B508789">
      <w:pPr>
        <w:spacing w:line="560" w:lineRule="exact"/>
        <w:ind w:firstLine="640"/>
        <w:jc w:val="left"/>
      </w:pPr>
      <w:r>
        <w:rPr>
          <w:rFonts w:hint="eastAsia" w:ascii="仿宋_GB2312" w:hAnsi="仿宋_GB2312" w:eastAsia="仿宋_GB2312"/>
          <w:sz w:val="32"/>
          <w:szCs w:val="32"/>
        </w:rPr>
        <w:t>依托校内实训场地搭建适配高寒农业场景的具身智能全流程教学实训云平台，打通数据采集、模型训练、评测部署、场景运维全实训链路。平台依托十四大功能模块，构建标准化、可落地、可迭代的高寒果蔬采摘具身智能实训体系，补齐具身智能前沿实训设备缺口，满足日常课程教学、教师科研试验、新型职业农民技能培训使用，为省级高水平专业群提质升级提供硬件支撑。</w:t>
      </w:r>
    </w:p>
    <w:p w14:paraId="3428692D">
      <w:pPr>
        <w:spacing w:line="560" w:lineRule="exact"/>
        <w:ind w:firstLine="640"/>
        <w:jc w:val="left"/>
      </w:pPr>
      <w:r>
        <w:rPr>
          <w:rFonts w:hint="eastAsia" w:ascii="楷体" w:hAnsi="楷体" w:eastAsia="楷体"/>
          <w:sz w:val="32"/>
          <w:szCs w:val="32"/>
        </w:rPr>
        <w:t>（六）编制依据</w:t>
      </w:r>
    </w:p>
    <w:p w14:paraId="33D42F67">
      <w:pPr>
        <w:spacing w:line="560" w:lineRule="exact"/>
        <w:ind w:firstLine="640"/>
        <w:jc w:val="left"/>
      </w:pPr>
      <w:r>
        <w:rPr>
          <w:rFonts w:hint="eastAsia" w:ascii="仿宋_GB2312" w:hAnsi="仿宋_GB2312" w:eastAsia="仿宋_GB2312"/>
          <w:sz w:val="32"/>
          <w:szCs w:val="32"/>
        </w:rPr>
        <w:t>1.《</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机器人+</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应用行动实施方案》；</w:t>
      </w:r>
    </w:p>
    <w:p w14:paraId="1C6F0624">
      <w:pPr>
        <w:spacing w:line="560" w:lineRule="exact"/>
        <w:ind w:firstLine="640"/>
        <w:jc w:val="left"/>
      </w:pPr>
      <w:r>
        <w:rPr>
          <w:rFonts w:hint="eastAsia" w:ascii="仿宋_GB2312" w:hAnsi="仿宋_GB2312" w:eastAsia="仿宋_GB2312"/>
          <w:sz w:val="32"/>
          <w:szCs w:val="32"/>
        </w:rPr>
        <w:t>2.《职业教育产教融合赋能提升行动实施方案（2023—2025年）》（发改社会〔2023〕699号）；</w:t>
      </w:r>
    </w:p>
    <w:p w14:paraId="57E7FB6C">
      <w:pPr>
        <w:spacing w:line="560" w:lineRule="exact"/>
        <w:ind w:firstLine="640"/>
        <w:jc w:val="left"/>
      </w:pPr>
      <w:r>
        <w:rPr>
          <w:rFonts w:hint="eastAsia" w:ascii="仿宋_GB2312" w:hAnsi="仿宋_GB2312" w:eastAsia="仿宋_GB2312"/>
          <w:sz w:val="32"/>
          <w:szCs w:val="32"/>
        </w:rPr>
        <w:t>3.《黑龙江省数字农业发展规划（2023</w:t>
      </w:r>
      <w:bookmarkStart w:id="0" w:name="_GoBack"/>
      <w:r>
        <w:rPr>
          <w:rFonts w:hint="eastAsia" w:ascii="仿宋_GB2312" w:hAnsi="仿宋_GB2312" w:eastAsia="仿宋_GB2312"/>
          <w:sz w:val="32"/>
          <w:szCs w:val="32"/>
          <w:lang w:eastAsia="zh-CN"/>
        </w:rPr>
        <w:t>—</w:t>
      </w:r>
      <w:bookmarkEnd w:id="0"/>
      <w:r>
        <w:rPr>
          <w:rFonts w:hint="eastAsia" w:ascii="仿宋_GB2312" w:hAnsi="仿宋_GB2312" w:eastAsia="仿宋_GB2312"/>
          <w:sz w:val="32"/>
          <w:szCs w:val="32"/>
        </w:rPr>
        <w:t>2027年）》；</w:t>
      </w:r>
    </w:p>
    <w:p w14:paraId="1FB42FCD">
      <w:pPr>
        <w:spacing w:line="560" w:lineRule="exact"/>
        <w:ind w:firstLine="640"/>
        <w:jc w:val="left"/>
      </w:pPr>
      <w:r>
        <w:rPr>
          <w:rFonts w:hint="eastAsia" w:ascii="仿宋_GB2312" w:hAnsi="仿宋_GB2312" w:eastAsia="仿宋_GB2312"/>
          <w:sz w:val="32"/>
          <w:szCs w:val="32"/>
        </w:rPr>
        <w:t>4.《职业教育专业目录（2024年）》相关专业技能培养要求；</w:t>
      </w:r>
    </w:p>
    <w:p w14:paraId="77CC0234">
      <w:pPr>
        <w:spacing w:line="560" w:lineRule="exact"/>
        <w:ind w:firstLine="640"/>
        <w:jc w:val="left"/>
        <w:rPr>
          <w:rFonts w:hint="eastAsia" w:ascii="仿宋_GB2312" w:hAnsi="仿宋_GB2312" w:eastAsia="仿宋_GB2312"/>
          <w:sz w:val="32"/>
          <w:szCs w:val="32"/>
        </w:rPr>
      </w:pPr>
      <w:r>
        <w:rPr>
          <w:rFonts w:hint="eastAsia" w:ascii="仿宋_GB2312" w:hAnsi="仿宋_GB2312" w:eastAsia="仿宋_GB2312"/>
          <w:sz w:val="32"/>
          <w:szCs w:val="32"/>
        </w:rPr>
        <w:t>5.《关于组织开展2025年职业教育专业目录增补专业论证工作的通知</w:t>
      </w:r>
      <w:r>
        <w:rPr>
          <w:rFonts w:hint="eastAsia" w:ascii="仿宋_GB2312" w:hAnsi="仿宋_GB2312" w:eastAsia="仿宋_GB2312"/>
          <w:sz w:val="32"/>
          <w:szCs w:val="32"/>
          <w:lang w:eastAsia="zh-CN"/>
        </w:rPr>
        <w:t>》；</w:t>
      </w:r>
    </w:p>
    <w:p w14:paraId="2904AA97">
      <w:pPr>
        <w:spacing w:line="560" w:lineRule="exact"/>
        <w:ind w:firstLine="640"/>
        <w:jc w:val="left"/>
      </w:pPr>
      <w:r>
        <w:rPr>
          <w:rFonts w:hint="eastAsia" w:ascii="仿宋_GB2312" w:hAnsi="仿宋_GB2312" w:eastAsia="仿宋_GB2312"/>
          <w:sz w:val="32"/>
          <w:szCs w:val="32"/>
        </w:rPr>
        <w:t>6.黑龙江省第三轮</w:t>
      </w:r>
      <w:r>
        <w:rPr>
          <w:rFonts w:hint="eastAsia" w:ascii="仿宋_GB2312" w:hAnsi="仿宋_GB2312" w:eastAsia="仿宋_GB2312"/>
          <w:sz w:val="32"/>
          <w:szCs w:val="32"/>
          <w:lang w:eastAsia="zh-CN"/>
        </w:rPr>
        <w:t>“双高计划”</w:t>
      </w:r>
      <w:r>
        <w:rPr>
          <w:rFonts w:hint="eastAsia" w:ascii="仿宋_GB2312" w:hAnsi="仿宋_GB2312" w:eastAsia="仿宋_GB2312"/>
          <w:sz w:val="32"/>
          <w:szCs w:val="32"/>
        </w:rPr>
        <w:t>专业群建设考核指标；</w:t>
      </w:r>
    </w:p>
    <w:p w14:paraId="19C2C031">
      <w:pPr>
        <w:spacing w:line="560" w:lineRule="exact"/>
        <w:ind w:firstLine="640"/>
        <w:jc w:val="left"/>
      </w:pPr>
      <w:r>
        <w:rPr>
          <w:rFonts w:hint="eastAsia" w:ascii="仿宋_GB2312" w:hAnsi="仿宋_GB2312" w:eastAsia="仿宋_GB2312"/>
          <w:sz w:val="32"/>
          <w:szCs w:val="32"/>
        </w:rPr>
        <w:t>7.中华职业教育社职业指导中心北京航空航天大学人工智能联合实验室项目申报相关要求；</w:t>
      </w:r>
    </w:p>
    <w:p w14:paraId="16687F50">
      <w:pPr>
        <w:spacing w:line="560" w:lineRule="exact"/>
        <w:ind w:firstLine="640"/>
        <w:jc w:val="left"/>
      </w:pPr>
      <w:r>
        <w:rPr>
          <w:rFonts w:hint="eastAsia" w:ascii="黑体" w:hAnsi="黑体" w:eastAsia="黑体"/>
          <w:sz w:val="32"/>
          <w:szCs w:val="32"/>
        </w:rPr>
        <w:t>二、项目建设需求说明</w:t>
      </w:r>
    </w:p>
    <w:p w14:paraId="51F87F05">
      <w:pPr>
        <w:spacing w:line="560" w:lineRule="exact"/>
        <w:ind w:firstLine="640"/>
        <w:jc w:val="left"/>
      </w:pPr>
      <w:r>
        <w:rPr>
          <w:rFonts w:hint="eastAsia" w:ascii="楷体" w:hAnsi="楷体" w:eastAsia="楷体"/>
          <w:sz w:val="32"/>
          <w:szCs w:val="32"/>
        </w:rPr>
        <w:t>（一）高寒农业智能化转型对实训条件提出新要求</w:t>
      </w:r>
    </w:p>
    <w:p w14:paraId="512C7523">
      <w:pPr>
        <w:spacing w:line="560" w:lineRule="exact"/>
        <w:ind w:firstLine="640"/>
        <w:jc w:val="left"/>
      </w:pPr>
      <w:r>
        <w:rPr>
          <w:rFonts w:hint="eastAsia" w:ascii="仿宋_GB2312" w:hAnsi="仿宋_GB2312" w:eastAsia="仿宋_GB2312"/>
          <w:sz w:val="32"/>
          <w:szCs w:val="32"/>
        </w:rPr>
        <w:t>黑龙江作为国家粮食核心产区，高寒农业面临低温、冻土、作物生长期短等极端场景制约，传统农业技术与装备在适应性和作业效率上存在明显短板。具身智能技术以</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环境感知</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自主决策</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物理执行</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迭代学习</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为核心逻辑，能够有效破解高寒农业生产中的技术瓶颈，正成为推动区域农业现代化转型的关键力量。然而，学校现有实训设备以传统农业设备为主，缺乏具身智能数据采集、模型训练、场景应用等前沿实训载体，无法开展高寒农业采摘数据采集、VLA算法模型训练调优、机器人场景应用开发等实操教学，实训条件与产业智能化转型需求之间存在明显差距。</w:t>
      </w:r>
    </w:p>
    <w:p w14:paraId="4D129C2F">
      <w:pPr>
        <w:spacing w:line="560" w:lineRule="exact"/>
        <w:ind w:firstLine="640"/>
        <w:jc w:val="left"/>
      </w:pPr>
      <w:r>
        <w:rPr>
          <w:rFonts w:hint="eastAsia" w:ascii="楷体" w:hAnsi="楷体" w:eastAsia="楷体"/>
          <w:sz w:val="32"/>
          <w:szCs w:val="32"/>
        </w:rPr>
        <w:t>（二）专业群课程体系与行业岗位标准存在断层</w:t>
      </w:r>
    </w:p>
    <w:p w14:paraId="4CCE9AC3">
      <w:pPr>
        <w:spacing w:line="560" w:lineRule="exact"/>
        <w:ind w:firstLine="640"/>
        <w:jc w:val="left"/>
      </w:pPr>
      <w:r>
        <w:rPr>
          <w:rFonts w:hint="eastAsia" w:ascii="仿宋_GB2312" w:hAnsi="仿宋_GB2312" w:eastAsia="仿宋_GB2312"/>
          <w:sz w:val="32"/>
          <w:szCs w:val="32"/>
        </w:rPr>
        <w:t>新版职业教育专业目录已将具身智能、机器人应用列为核心技能要求，智慧农业技术与装备、人工智能技术应用、大数据技术等专业的课程内容加速更新。但现有硬件条件跟不上课程更新节奏，学生只能依靠虚拟软件模拟操作，缺少实体平台实操训练。建设本实训平台，能够在校内复刻高寒农业采摘具身智能作业全流程，让学生在校完成完整实操训练，匹配企业真实用工需求。</w:t>
      </w:r>
    </w:p>
    <w:p w14:paraId="3EA496F2">
      <w:pPr>
        <w:spacing w:line="560" w:lineRule="exact"/>
        <w:ind w:firstLine="640"/>
        <w:jc w:val="left"/>
      </w:pPr>
      <w:r>
        <w:rPr>
          <w:rFonts w:hint="eastAsia" w:ascii="楷体" w:hAnsi="楷体" w:eastAsia="楷体"/>
          <w:sz w:val="32"/>
          <w:szCs w:val="32"/>
        </w:rPr>
        <w:t>（三）教师科研与技术创新缺乏平台支撑</w:t>
      </w:r>
    </w:p>
    <w:p w14:paraId="314B50FA">
      <w:pPr>
        <w:spacing w:line="560" w:lineRule="exact"/>
        <w:ind w:firstLine="640"/>
        <w:jc w:val="left"/>
      </w:pPr>
      <w:r>
        <w:rPr>
          <w:rFonts w:hint="eastAsia" w:ascii="仿宋_GB2312" w:hAnsi="仿宋_GB2312" w:eastAsia="仿宋_GB2312"/>
          <w:sz w:val="32"/>
          <w:szCs w:val="32"/>
        </w:rPr>
        <w:t>学校教师长期围绕农业多源数据建模、智能采摘算法开展课题研究，开展试验需要具身智能数据采集、模型训练调优、场景应用开发等硬件条件。目前校内没有对应实训平台，教师无法自主采集一手试验数据、训练专用模型，科研试验、算法优化、成果产出受到明显限制。搭建本平台，能够为教师科研提供实体试验载体，支撑教师完成智能采摘、机器人作</w:t>
      </w:r>
      <w:r>
        <w:rPr>
          <w:rFonts w:hint="eastAsia" w:ascii="仿宋_GB2312" w:hAnsi="仿宋_GB2312" w:eastAsia="仿宋_GB2312"/>
          <w:sz w:val="32"/>
          <w:szCs w:val="32"/>
          <w:lang w:eastAsia="zh-CN"/>
        </w:rPr>
        <w:t>业等</w:t>
      </w:r>
      <w:r>
        <w:rPr>
          <w:rFonts w:hint="eastAsia" w:ascii="仿宋_GB2312" w:hAnsi="仿宋_GB2312" w:eastAsia="仿宋_GB2312"/>
          <w:sz w:val="32"/>
          <w:szCs w:val="32"/>
        </w:rPr>
        <w:t>相关课题研究，产出论文、改良技术等科研成果，丰富专业群科研储备。</w:t>
      </w:r>
    </w:p>
    <w:p w14:paraId="56D2F0A0">
      <w:pPr>
        <w:spacing w:line="560" w:lineRule="exact"/>
        <w:ind w:firstLine="640"/>
        <w:jc w:val="left"/>
      </w:pPr>
      <w:r>
        <w:rPr>
          <w:rFonts w:hint="eastAsia" w:ascii="楷体" w:hAnsi="楷体" w:eastAsia="楷体"/>
          <w:sz w:val="32"/>
          <w:szCs w:val="32"/>
        </w:rPr>
        <w:t>（四）社会培训与产教融合</w:t>
      </w:r>
      <w:r>
        <w:rPr>
          <w:rFonts w:hint="eastAsia" w:ascii="楷体" w:hAnsi="楷体" w:eastAsia="楷体"/>
          <w:sz w:val="32"/>
          <w:szCs w:val="32"/>
          <w:lang w:eastAsia="zh-CN"/>
        </w:rPr>
        <w:t>亟须</w:t>
      </w:r>
      <w:r>
        <w:rPr>
          <w:rFonts w:hint="eastAsia" w:ascii="楷体" w:hAnsi="楷体" w:eastAsia="楷体"/>
          <w:sz w:val="32"/>
          <w:szCs w:val="32"/>
        </w:rPr>
        <w:t>实体场景赋能</w:t>
      </w:r>
    </w:p>
    <w:p w14:paraId="58D78637">
      <w:pPr>
        <w:spacing w:line="560" w:lineRule="exact"/>
        <w:ind w:firstLine="640"/>
        <w:jc w:val="left"/>
      </w:pPr>
      <w:r>
        <w:rPr>
          <w:rFonts w:hint="eastAsia" w:ascii="仿宋_GB2312" w:hAnsi="仿宋_GB2312" w:eastAsia="仿宋_GB2312"/>
          <w:sz w:val="32"/>
          <w:szCs w:val="32"/>
        </w:rPr>
        <w:t>学院每年承接大量新型职业农民、农业企业技术人员培训任务，现阶段培训仅能开展理论讲解，没有成套具身智能平台供学员动手实操，培训内容和农场数字化生产实际脱节。同时，现阶段校企合作实训内容缺少高寒农业具身智能相关真实项目场景，难以实现教育链、人才链与农业智能装备产业链精准对接。项目配套具身智能实训云平台后，可引入合作企业真实高寒农业采摘作业项目，聘请企业技术人员入校开展实训指导，完善产教融合实训场景。</w:t>
      </w:r>
    </w:p>
    <w:p w14:paraId="1733BDF8">
      <w:pPr>
        <w:spacing w:line="560" w:lineRule="exact"/>
        <w:ind w:firstLine="640"/>
        <w:jc w:val="left"/>
      </w:pPr>
      <w:r>
        <w:rPr>
          <w:rFonts w:hint="eastAsia" w:ascii="黑体" w:hAnsi="黑体" w:eastAsia="黑体"/>
          <w:sz w:val="32"/>
          <w:szCs w:val="32"/>
        </w:rPr>
        <w:t>三、项目建设内容及设备采购清单</w:t>
      </w:r>
    </w:p>
    <w:p w14:paraId="58081E4E">
      <w:pPr>
        <w:spacing w:line="560" w:lineRule="exact"/>
        <w:ind w:firstLine="640"/>
        <w:jc w:val="left"/>
      </w:pPr>
      <w:r>
        <w:rPr>
          <w:rFonts w:hint="eastAsia" w:ascii="楷体" w:hAnsi="楷体" w:eastAsia="楷体"/>
          <w:sz w:val="32"/>
          <w:szCs w:val="32"/>
        </w:rPr>
        <w:t>（一）核心建设内容</w:t>
      </w:r>
    </w:p>
    <w:p w14:paraId="11485104">
      <w:pPr>
        <w:spacing w:line="560" w:lineRule="exact"/>
        <w:ind w:firstLine="640"/>
        <w:jc w:val="left"/>
      </w:pPr>
      <w:r>
        <w:rPr>
          <w:rFonts w:hint="eastAsia" w:ascii="仿宋_GB2312" w:hAnsi="仿宋_GB2312" w:eastAsia="仿宋_GB2312"/>
          <w:sz w:val="32"/>
          <w:szCs w:val="32"/>
        </w:rPr>
        <w:t>1.高寒农业采摘数据采集场景搭建：搭建适配本地果蔬采摘的专属仿真实训场景，构建贴合当地特性的场景资源体系，为采摘模型训练、实训迭代提供真实场景支撑，配套标准化数据采集实训工位，支撑学生批量完成合规、可复用的采摘多模态数据采集实训；</w:t>
      </w:r>
    </w:p>
    <w:p w14:paraId="1D4CF4C4">
      <w:pPr>
        <w:spacing w:line="560" w:lineRule="exact"/>
        <w:ind w:firstLine="640"/>
        <w:jc w:val="left"/>
        <w:rPr>
          <w:rFonts w:hint="eastAsia" w:ascii="仿宋_GB2312" w:hAnsi="仿宋_GB2312" w:eastAsia="仿宋_GB2312"/>
          <w:sz w:val="32"/>
          <w:szCs w:val="32"/>
        </w:rPr>
      </w:pPr>
      <w:r>
        <w:rPr>
          <w:rFonts w:hint="eastAsia" w:ascii="仿宋_GB2312" w:hAnsi="仿宋_GB2312" w:eastAsia="仿宋_GB2312"/>
          <w:sz w:val="32"/>
          <w:szCs w:val="32"/>
        </w:rPr>
        <w:t>2.具身智能大模型及服务云平台部署：部署采集任务管理、数据管理、模型训练管理、模型评测、VLA模型管理、模型服务、场景应用管理、场景应用监控、技能管理、提示工程、工作流、机器人代码开发、机器人管理、后台管理十四大功能模块，构建标准化、可落地、可迭代的高寒果蔬采摘具身智能实训体系；</w:t>
      </w:r>
    </w:p>
    <w:p w14:paraId="576C77D2">
      <w:pPr>
        <w:spacing w:line="560" w:lineRule="exact"/>
        <w:ind w:firstLine="640"/>
        <w:jc w:val="left"/>
        <w:rPr>
          <w:rFonts w:hint="default"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3.具身智能开发工具套件部署：包括具身智能数据采集工具、具身智能技能工具、具身智能流程开发工具、具身智能机器人运维工具等；</w:t>
      </w:r>
    </w:p>
    <w:p w14:paraId="156649AA">
      <w:pPr>
        <w:spacing w:line="560" w:lineRule="exact"/>
        <w:ind w:firstLine="640"/>
        <w:jc w:val="left"/>
      </w:pPr>
      <w:r>
        <w:rPr>
          <w:rFonts w:hint="eastAsia" w:ascii="仿宋_GB2312" w:hAnsi="仿宋_GB2312" w:eastAsia="仿宋_GB2312"/>
          <w:sz w:val="32"/>
          <w:szCs w:val="32"/>
          <w:lang w:val="en-US" w:eastAsia="zh-CN"/>
        </w:rPr>
        <w:t>4</w:t>
      </w:r>
      <w:r>
        <w:rPr>
          <w:rFonts w:hint="eastAsia" w:ascii="仿宋_GB2312" w:hAnsi="仿宋_GB2312" w:eastAsia="仿宋_GB2312"/>
          <w:sz w:val="32"/>
          <w:szCs w:val="32"/>
        </w:rPr>
        <w:t>.具身智能数据采集与实战课程开发：围绕高寒农业采摘具身智能数据采集全流程，开发配套实战课程资源，涵盖数据采集任务设计、多模态数据采集实操、数据清洗标注等核心实训内容，支撑学生系统掌握具身智能数据采集与实战全链条技能；</w:t>
      </w:r>
    </w:p>
    <w:p w14:paraId="2F99D3BC">
      <w:pPr>
        <w:spacing w:line="560" w:lineRule="exact"/>
        <w:ind w:firstLine="640"/>
        <w:jc w:val="left"/>
      </w:pP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.场地配套改造：开展实验室硬件及环境配套</w:t>
      </w:r>
      <w:r>
        <w:rPr>
          <w:rFonts w:hint="eastAsia" w:ascii="仿宋_GB2312" w:hAnsi="仿宋_GB2312" w:eastAsia="仿宋_GB2312"/>
          <w:sz w:val="32"/>
          <w:szCs w:val="32"/>
          <w:lang w:val="en-US" w:eastAsia="zh-CN"/>
        </w:rPr>
        <w:t>改造</w:t>
      </w:r>
      <w:r>
        <w:rPr>
          <w:rFonts w:hint="eastAsia" w:ascii="仿宋_GB2312" w:hAnsi="仿宋_GB2312" w:eastAsia="仿宋_GB2312"/>
          <w:sz w:val="32"/>
          <w:szCs w:val="32"/>
        </w:rPr>
        <w:t>，配置虚拟仿真工作站，支撑仿真运算、数据处理与实训模拟作业；配备移动显示屏</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满足现场演示、教学展示及成果交互使用</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开展简单数采场景搭建，</w:t>
      </w:r>
      <w:r>
        <w:rPr>
          <w:rFonts w:hint="eastAsia" w:ascii="仿宋_GB2312" w:hAnsi="仿宋_GB2312" w:eastAsia="仿宋_GB2312"/>
          <w:sz w:val="32"/>
          <w:szCs w:val="32"/>
          <w:lang w:val="en-US" w:eastAsia="zh-CN"/>
        </w:rPr>
        <w:t>扩展不同</w:t>
      </w:r>
      <w:r>
        <w:rPr>
          <w:rFonts w:hint="eastAsia" w:ascii="仿宋_GB2312" w:hAnsi="仿宋_GB2312" w:eastAsia="仿宋_GB2312"/>
          <w:sz w:val="32"/>
          <w:szCs w:val="32"/>
        </w:rPr>
        <w:t>实操实训环境。同步实施实验室装修改造，优化空间布局、管线排布与环境条件，完善场地基础配套，保障设备稳定运行，为开展仿真实训、数据采集实操教学提供完备的硬件场地支撑。</w:t>
      </w:r>
    </w:p>
    <w:p w14:paraId="3E2DCB3C">
      <w:pPr>
        <w:spacing w:line="560" w:lineRule="exact"/>
        <w:ind w:firstLine="640"/>
        <w:jc w:val="left"/>
      </w:pPr>
      <w:r>
        <w:rPr>
          <w:rFonts w:hint="eastAsia" w:ascii="楷体" w:hAnsi="楷体" w:eastAsia="楷体"/>
          <w:sz w:val="32"/>
          <w:szCs w:val="32"/>
        </w:rPr>
        <w:t>（二）设备采购清单</w:t>
      </w:r>
    </w:p>
    <w:tbl>
      <w:tblPr>
        <w:tblStyle w:val="5"/>
        <w:tblW w:w="9513" w:type="dxa"/>
        <w:jc w:val="center"/>
        <w:tblLayout w:type="fixed"/>
        <w:tblCellMar>
          <w:top w:w="0" w:type="dxa"/>
          <w:left w:w="108" w:type="dxa"/>
          <w:bottom w:w="0" w:type="dxa"/>
          <w:right w:w="108" w:type="dxa"/>
        </w:tblCellMar>
      </w:tblPr>
      <w:tblGrid>
        <w:gridCol w:w="703"/>
        <w:gridCol w:w="2267"/>
        <w:gridCol w:w="5808"/>
        <w:gridCol w:w="735"/>
      </w:tblGrid>
      <w:tr w14:paraId="79885FD2">
        <w:tblPrEx>
          <w:tblCellMar>
            <w:top w:w="0" w:type="dxa"/>
            <w:left w:w="108" w:type="dxa"/>
            <w:bottom w:w="0" w:type="dxa"/>
            <w:right w:w="108" w:type="dxa"/>
          </w:tblCellMar>
        </w:tblPrEx>
        <w:trPr>
          <w:trHeight w:val="540" w:hRule="atLeast"/>
          <w:jc w:val="center"/>
        </w:trPr>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69FB4">
            <w:pPr>
              <w:widowControl/>
              <w:jc w:val="center"/>
              <w:textAlignment w:val="center"/>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lang w:bidi="ar"/>
              </w:rPr>
              <w:t>序号</w:t>
            </w:r>
          </w:p>
        </w:tc>
        <w:tc>
          <w:tcPr>
            <w:tcW w:w="2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97FAE">
            <w:pPr>
              <w:widowControl/>
              <w:jc w:val="center"/>
              <w:textAlignment w:val="center"/>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lang w:bidi="ar"/>
              </w:rPr>
              <w:t>产品名称</w:t>
            </w:r>
          </w:p>
        </w:tc>
        <w:tc>
          <w:tcPr>
            <w:tcW w:w="58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F8F1D">
            <w:pPr>
              <w:widowControl/>
              <w:jc w:val="center"/>
              <w:textAlignment w:val="center"/>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lang w:bidi="ar"/>
              </w:rPr>
              <w:t>功能简介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C77CD">
            <w:pPr>
              <w:widowControl/>
              <w:jc w:val="center"/>
              <w:textAlignment w:val="center"/>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lang w:bidi="ar"/>
              </w:rPr>
              <w:t>数量</w:t>
            </w:r>
          </w:p>
        </w:tc>
      </w:tr>
      <w:tr w14:paraId="37E32F14">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7FD104A1">
            <w:pPr>
              <w:jc w:val="center"/>
              <w:rPr>
                <w:sz w:val="24"/>
                <w:szCs w:val="24"/>
              </w:rPr>
            </w:pPr>
            <w:r>
              <w:rPr>
                <w:rFonts w:hint="eastAsia" w:ascii="宋体" w:hAnsi="宋体" w:eastAsia="宋体"/>
                <w:sz w:val="24"/>
                <w:szCs w:val="24"/>
              </w:rPr>
              <w:t>1</w:t>
            </w:r>
          </w:p>
        </w:tc>
        <w:tc>
          <w:tcPr>
            <w:tcW w:w="2267" w:type="dxa"/>
            <w:tcBorders>
              <w:top w:val="single" w:color="000000" w:sz="4" w:space="0"/>
              <w:left w:val="single" w:color="000000" w:sz="4" w:space="0"/>
              <w:bottom w:val="single" w:color="000000" w:sz="4" w:space="0"/>
              <w:right w:val="single" w:color="000000" w:sz="4" w:space="0"/>
            </w:tcBorders>
            <w:vAlign w:val="center"/>
          </w:tcPr>
          <w:p w14:paraId="10AB92BF">
            <w:pPr>
              <w:jc w:val="center"/>
              <w:rPr>
                <w:sz w:val="24"/>
                <w:szCs w:val="24"/>
              </w:rPr>
            </w:pPr>
            <w:r>
              <w:rPr>
                <w:rFonts w:hint="eastAsia" w:ascii="宋体" w:hAnsi="宋体" w:eastAsia="宋体"/>
                <w:sz w:val="24"/>
                <w:szCs w:val="24"/>
              </w:rPr>
              <w:t>农业果蔬采摘数据采集与模型训练场景搭建</w:t>
            </w:r>
          </w:p>
        </w:tc>
        <w:tc>
          <w:tcPr>
            <w:tcW w:w="5808" w:type="dxa"/>
            <w:tcBorders>
              <w:top w:val="single" w:color="000000" w:sz="4" w:space="0"/>
              <w:left w:val="single" w:color="000000" w:sz="4" w:space="0"/>
              <w:bottom w:val="single" w:color="000000" w:sz="4" w:space="0"/>
              <w:right w:val="single" w:color="000000" w:sz="4" w:space="0"/>
            </w:tcBorders>
            <w:vAlign w:val="center"/>
          </w:tcPr>
          <w:p w14:paraId="4B3E178F">
            <w:pPr>
              <w:jc w:val="left"/>
              <w:rPr>
                <w:sz w:val="24"/>
                <w:szCs w:val="24"/>
              </w:rPr>
            </w:pPr>
            <w:r>
              <w:rPr>
                <w:rFonts w:hint="eastAsia" w:ascii="宋体" w:hAnsi="宋体" w:eastAsia="宋体"/>
                <w:sz w:val="24"/>
                <w:szCs w:val="24"/>
              </w:rPr>
              <w:t>搭建适配本地果蔬采摘的专属仿真实训场景，构建贴合当地特性的场景资源体系，为采摘模型训练、实训迭代提供真实场景支撑。同时搭建标准化专属数据采集实训工位，适配高寒果蔬采摘数据采集需求，定制标准化采摘数据采集、模型适配规则，规范工位采集流程与验收标准，支撑学生批量完成合规、可复用的采摘多模态数据采集实训。</w:t>
            </w:r>
          </w:p>
        </w:tc>
        <w:tc>
          <w:tcPr>
            <w:tcW w:w="735" w:type="dxa"/>
            <w:tcBorders>
              <w:top w:val="single" w:color="000000" w:sz="4" w:space="0"/>
              <w:left w:val="single" w:color="000000" w:sz="4" w:space="0"/>
              <w:bottom w:val="single" w:color="000000" w:sz="4" w:space="0"/>
              <w:right w:val="single" w:color="000000" w:sz="4" w:space="0"/>
            </w:tcBorders>
            <w:vAlign w:val="center"/>
          </w:tcPr>
          <w:p w14:paraId="22D25AD0">
            <w:pPr>
              <w:jc w:val="center"/>
              <w:rPr>
                <w:sz w:val="24"/>
                <w:szCs w:val="24"/>
              </w:rPr>
            </w:pPr>
            <w:r>
              <w:rPr>
                <w:rFonts w:hint="eastAsia" w:ascii="宋体" w:hAnsi="宋体" w:eastAsia="宋体"/>
                <w:sz w:val="24"/>
                <w:szCs w:val="24"/>
              </w:rPr>
              <w:t>1</w:t>
            </w:r>
          </w:p>
        </w:tc>
      </w:tr>
      <w:tr w14:paraId="7BF3A0EB">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2191F5EC">
            <w:pPr>
              <w:jc w:val="center"/>
              <w:rPr>
                <w:sz w:val="24"/>
                <w:szCs w:val="24"/>
              </w:rPr>
            </w:pPr>
            <w:r>
              <w:rPr>
                <w:rFonts w:hint="eastAsia" w:ascii="宋体" w:hAnsi="宋体" w:eastAsia="宋体"/>
                <w:sz w:val="24"/>
                <w:szCs w:val="24"/>
              </w:rPr>
              <w:t>2</w:t>
            </w:r>
          </w:p>
        </w:tc>
        <w:tc>
          <w:tcPr>
            <w:tcW w:w="2267" w:type="dxa"/>
            <w:tcBorders>
              <w:top w:val="single" w:color="000000" w:sz="4" w:space="0"/>
              <w:left w:val="single" w:color="000000" w:sz="4" w:space="0"/>
              <w:bottom w:val="single" w:color="000000" w:sz="4" w:space="0"/>
              <w:right w:val="single" w:color="000000" w:sz="4" w:space="0"/>
            </w:tcBorders>
            <w:vAlign w:val="center"/>
          </w:tcPr>
          <w:p w14:paraId="77942889">
            <w:pPr>
              <w:jc w:val="center"/>
              <w:rPr>
                <w:sz w:val="24"/>
                <w:szCs w:val="24"/>
              </w:rPr>
            </w:pPr>
            <w:r>
              <w:rPr>
                <w:rFonts w:hint="eastAsia" w:ascii="宋体" w:hAnsi="宋体" w:eastAsia="宋体"/>
                <w:sz w:val="24"/>
                <w:szCs w:val="24"/>
              </w:rPr>
              <w:t>采集任务管理模块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0CC9FAB1">
            <w:pPr>
              <w:jc w:val="left"/>
              <w:rPr>
                <w:sz w:val="24"/>
                <w:szCs w:val="24"/>
              </w:rPr>
            </w:pPr>
            <w:r>
              <w:rPr>
                <w:rFonts w:ascii="宋体" w:hAnsi="宋体" w:eastAsia="宋体"/>
                <w:sz w:val="24"/>
                <w:szCs w:val="24"/>
              </w:rPr>
              <w:t>采集任务管理模块是具身智能模仿学习全流程的起点，为教学与实训提供规范化的数据采集任务创建与跟踪能力。模块支持教师根据不同实训场景自定义采集任务，学生可在平台内按步骤完成采集操作，教师则能实时查看任务进度、采集质量与完成情况，实现教学过程的精细化管控。该模块不仅解决了传统实训中数据采集无标准、无流程、难追溯的痛点，更帮助学生建立 “任务驱动、标准先行” 的工程思维，为后续模型训练提供高质量、可复用的数据集基础，是衔接教学目标与数据生产的关键环节。</w:t>
            </w:r>
          </w:p>
        </w:tc>
        <w:tc>
          <w:tcPr>
            <w:tcW w:w="735" w:type="dxa"/>
            <w:tcBorders>
              <w:top w:val="single" w:color="000000" w:sz="4" w:space="0"/>
              <w:left w:val="single" w:color="000000" w:sz="4" w:space="0"/>
              <w:bottom w:val="single" w:color="000000" w:sz="4" w:space="0"/>
              <w:right w:val="single" w:color="000000" w:sz="4" w:space="0"/>
            </w:tcBorders>
            <w:vAlign w:val="center"/>
          </w:tcPr>
          <w:p w14:paraId="7C859ABE">
            <w:pPr>
              <w:jc w:val="center"/>
              <w:rPr>
                <w:sz w:val="24"/>
                <w:szCs w:val="24"/>
              </w:rPr>
            </w:pPr>
            <w:r>
              <w:rPr>
                <w:rFonts w:hint="eastAsia" w:ascii="宋体" w:hAnsi="宋体" w:eastAsia="宋体"/>
                <w:sz w:val="24"/>
                <w:szCs w:val="24"/>
              </w:rPr>
              <w:t>1</w:t>
            </w:r>
          </w:p>
        </w:tc>
      </w:tr>
      <w:tr w14:paraId="435A6E0A">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4C71484A">
            <w:pPr>
              <w:jc w:val="center"/>
              <w:rPr>
                <w:sz w:val="24"/>
                <w:szCs w:val="24"/>
              </w:rPr>
            </w:pPr>
            <w:r>
              <w:rPr>
                <w:rFonts w:hint="eastAsia" w:ascii="宋体" w:hAnsi="宋体" w:eastAsia="宋体"/>
                <w:sz w:val="24"/>
                <w:szCs w:val="24"/>
              </w:rPr>
              <w:t>3</w:t>
            </w:r>
          </w:p>
        </w:tc>
        <w:tc>
          <w:tcPr>
            <w:tcW w:w="2267" w:type="dxa"/>
            <w:tcBorders>
              <w:top w:val="single" w:color="000000" w:sz="4" w:space="0"/>
              <w:left w:val="single" w:color="000000" w:sz="4" w:space="0"/>
              <w:bottom w:val="single" w:color="000000" w:sz="4" w:space="0"/>
              <w:right w:val="single" w:color="000000" w:sz="4" w:space="0"/>
            </w:tcBorders>
            <w:vAlign w:val="center"/>
          </w:tcPr>
          <w:p w14:paraId="30EF0E88">
            <w:pPr>
              <w:jc w:val="center"/>
              <w:rPr>
                <w:sz w:val="24"/>
                <w:szCs w:val="24"/>
              </w:rPr>
            </w:pPr>
            <w:r>
              <w:rPr>
                <w:rFonts w:hint="eastAsia" w:ascii="宋体" w:hAnsi="宋体" w:eastAsia="宋体"/>
                <w:sz w:val="24"/>
                <w:szCs w:val="24"/>
              </w:rPr>
              <w:t>数据管理模块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406E49FF">
            <w:pPr>
              <w:jc w:val="left"/>
              <w:rPr>
                <w:sz w:val="24"/>
                <w:szCs w:val="24"/>
              </w:rPr>
            </w:pPr>
            <w:r>
              <w:rPr>
                <w:rFonts w:ascii="宋体" w:hAnsi="宋体" w:eastAsia="宋体"/>
                <w:sz w:val="24"/>
                <w:szCs w:val="24"/>
              </w:rPr>
              <w:t>数据管理模块为具身智能模仿学习提供全生命周期的数据支撑，实现数据的标准化采集、清洗、标注、存储与版本管理。模块支持多模态</w:t>
            </w:r>
            <w:r>
              <w:rPr>
                <w:rFonts w:hint="eastAsia" w:ascii="宋体" w:hAnsi="宋体" w:eastAsia="宋体"/>
                <w:sz w:val="24"/>
                <w:szCs w:val="24"/>
                <w:lang w:eastAsia="zh-CN"/>
              </w:rPr>
              <w:t>数据</w:t>
            </w:r>
            <w:r>
              <w:rPr>
                <w:rFonts w:ascii="宋体" w:hAnsi="宋体" w:eastAsia="宋体"/>
                <w:sz w:val="24"/>
                <w:szCs w:val="24"/>
              </w:rPr>
              <w:t>的统一接入与管理，提供数据清洗、标注工具，教师可将教学过程中采集的数据集按场景、任务进行分类归档，学生则可基于标准化数据集开展后续模型训练与优化。该模块既保障了实训数据的规范性与可复用性，也让学生系统掌握具身智能项目中数据治理的核心流程，理解高质量数据对模型性能的决定性作用，为后续模型训练环节筑牢数据基础。</w:t>
            </w:r>
          </w:p>
        </w:tc>
        <w:tc>
          <w:tcPr>
            <w:tcW w:w="735" w:type="dxa"/>
            <w:tcBorders>
              <w:top w:val="single" w:color="000000" w:sz="4" w:space="0"/>
              <w:left w:val="single" w:color="000000" w:sz="4" w:space="0"/>
              <w:bottom w:val="single" w:color="000000" w:sz="4" w:space="0"/>
              <w:right w:val="single" w:color="000000" w:sz="4" w:space="0"/>
            </w:tcBorders>
            <w:vAlign w:val="center"/>
          </w:tcPr>
          <w:p w14:paraId="0CA7828E">
            <w:pPr>
              <w:jc w:val="center"/>
              <w:rPr>
                <w:sz w:val="24"/>
                <w:szCs w:val="24"/>
              </w:rPr>
            </w:pPr>
            <w:r>
              <w:rPr>
                <w:rFonts w:hint="eastAsia" w:ascii="宋体" w:hAnsi="宋体" w:eastAsia="宋体"/>
                <w:sz w:val="24"/>
                <w:szCs w:val="24"/>
              </w:rPr>
              <w:t>1</w:t>
            </w:r>
          </w:p>
        </w:tc>
      </w:tr>
      <w:tr w14:paraId="3C08C9E8">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7F3C5444">
            <w:pPr>
              <w:jc w:val="center"/>
              <w:rPr>
                <w:sz w:val="24"/>
                <w:szCs w:val="24"/>
              </w:rPr>
            </w:pPr>
            <w:r>
              <w:rPr>
                <w:rFonts w:hint="eastAsia" w:ascii="宋体" w:hAnsi="宋体" w:eastAsia="宋体"/>
                <w:sz w:val="24"/>
                <w:szCs w:val="24"/>
              </w:rPr>
              <w:t>4</w:t>
            </w:r>
          </w:p>
        </w:tc>
        <w:tc>
          <w:tcPr>
            <w:tcW w:w="2267" w:type="dxa"/>
            <w:tcBorders>
              <w:top w:val="single" w:color="000000" w:sz="4" w:space="0"/>
              <w:left w:val="single" w:color="000000" w:sz="4" w:space="0"/>
              <w:bottom w:val="single" w:color="000000" w:sz="4" w:space="0"/>
              <w:right w:val="single" w:color="000000" w:sz="4" w:space="0"/>
            </w:tcBorders>
            <w:vAlign w:val="center"/>
          </w:tcPr>
          <w:p w14:paraId="48799E5A">
            <w:pPr>
              <w:jc w:val="center"/>
              <w:rPr>
                <w:sz w:val="24"/>
                <w:szCs w:val="24"/>
              </w:rPr>
            </w:pPr>
            <w:r>
              <w:rPr>
                <w:rFonts w:hint="eastAsia" w:ascii="宋体" w:hAnsi="宋体" w:eastAsia="宋体"/>
                <w:sz w:val="24"/>
                <w:szCs w:val="24"/>
              </w:rPr>
              <w:t>模型训练管理模块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70461DAE">
            <w:pPr>
              <w:jc w:val="left"/>
              <w:rPr>
                <w:sz w:val="24"/>
                <w:szCs w:val="24"/>
              </w:rPr>
            </w:pPr>
            <w:r>
              <w:rPr>
                <w:rFonts w:ascii="宋体" w:hAnsi="宋体" w:eastAsia="宋体"/>
                <w:sz w:val="24"/>
                <w:szCs w:val="24"/>
              </w:rPr>
              <w:t>模型训练管理模块聚焦具身智能</w:t>
            </w:r>
            <w:r>
              <w:rPr>
                <w:rFonts w:hint="eastAsia" w:ascii="宋体" w:hAnsi="宋体" w:eastAsia="宋体"/>
                <w:sz w:val="24"/>
                <w:szCs w:val="24"/>
              </w:rPr>
              <w:t>模型训练</w:t>
            </w:r>
            <w:r>
              <w:rPr>
                <w:rFonts w:ascii="宋体" w:hAnsi="宋体" w:eastAsia="宋体"/>
                <w:sz w:val="24"/>
                <w:szCs w:val="24"/>
              </w:rPr>
              <w:t>的教学与实训，为 OpenVLA、π0、SmolVLA 等主流模型提供全流程训练、调优与迭代能力。模块内置高寒</w:t>
            </w:r>
            <w:r>
              <w:rPr>
                <w:rFonts w:hint="eastAsia" w:ascii="宋体" w:hAnsi="宋体" w:eastAsia="宋体"/>
                <w:sz w:val="24"/>
                <w:szCs w:val="24"/>
                <w:lang w:eastAsia="zh-CN"/>
              </w:rPr>
              <w:t>农业</w:t>
            </w:r>
            <w:r>
              <w:rPr>
                <w:rFonts w:ascii="宋体" w:hAnsi="宋体" w:eastAsia="宋体"/>
                <w:sz w:val="24"/>
                <w:szCs w:val="24"/>
              </w:rPr>
              <w:t>等场景的预训练模型，支持学生在零代码或低代码环境下配置训练参数、选择数据集、启动训练任务，并通过可视化界面实时监控训练过程、损失曲线与模型性能指标，</w:t>
            </w:r>
            <w:r>
              <w:rPr>
                <w:rFonts w:hint="eastAsia" w:ascii="宋体" w:hAnsi="宋体" w:eastAsia="宋体"/>
                <w:sz w:val="24"/>
                <w:szCs w:val="24"/>
                <w:lang w:eastAsia="zh-CN"/>
              </w:rPr>
              <w:t>教师</w:t>
            </w:r>
            <w:r>
              <w:rPr>
                <w:rFonts w:ascii="宋体" w:hAnsi="宋体" w:eastAsia="宋体"/>
                <w:sz w:val="24"/>
                <w:szCs w:val="24"/>
              </w:rPr>
              <w:t>可通过平台统一管理学生的训练任务、调优记录与模型版本，开展针对性指导。该模块让学生能够在真实的算法训练流程中理解</w:t>
            </w:r>
            <w:r>
              <w:rPr>
                <w:rFonts w:hint="eastAsia" w:ascii="宋体" w:hAnsi="宋体" w:eastAsia="宋体"/>
                <w:sz w:val="24"/>
                <w:szCs w:val="24"/>
              </w:rPr>
              <w:t>模型训练</w:t>
            </w:r>
            <w:r>
              <w:rPr>
                <w:rFonts w:ascii="宋体" w:hAnsi="宋体" w:eastAsia="宋体"/>
                <w:sz w:val="24"/>
                <w:szCs w:val="24"/>
              </w:rPr>
              <w:t>的工作原理，掌握参数调优、模型迭代的核心技能，打破传统教学中 “理论与实践脱节” 的壁垒，为培养具身智能</w:t>
            </w:r>
            <w:r>
              <w:rPr>
                <w:rFonts w:hint="eastAsia" w:ascii="宋体" w:hAnsi="宋体" w:eastAsia="宋体"/>
                <w:sz w:val="24"/>
                <w:szCs w:val="24"/>
              </w:rPr>
              <w:t>模型训练</w:t>
            </w:r>
            <w:r>
              <w:rPr>
                <w:rFonts w:ascii="宋体" w:hAnsi="宋体" w:eastAsia="宋体"/>
                <w:sz w:val="24"/>
                <w:szCs w:val="24"/>
              </w:rPr>
              <w:t>与优化能力提供核心支撑</w:t>
            </w:r>
            <w:r>
              <w:rPr>
                <w:rFonts w:hint="eastAsia" w:ascii="宋体" w:hAnsi="宋体" w:eastAsia="宋体"/>
                <w:sz w:val="24"/>
                <w:szCs w:val="24"/>
              </w:rPr>
              <w:t>。</w:t>
            </w:r>
          </w:p>
        </w:tc>
        <w:tc>
          <w:tcPr>
            <w:tcW w:w="735" w:type="dxa"/>
            <w:tcBorders>
              <w:top w:val="single" w:color="000000" w:sz="4" w:space="0"/>
              <w:left w:val="single" w:color="000000" w:sz="4" w:space="0"/>
              <w:bottom w:val="single" w:color="000000" w:sz="4" w:space="0"/>
              <w:right w:val="single" w:color="000000" w:sz="4" w:space="0"/>
            </w:tcBorders>
            <w:vAlign w:val="center"/>
          </w:tcPr>
          <w:p w14:paraId="4FFB7E42">
            <w:pPr>
              <w:jc w:val="center"/>
              <w:rPr>
                <w:sz w:val="24"/>
                <w:szCs w:val="24"/>
              </w:rPr>
            </w:pPr>
            <w:r>
              <w:rPr>
                <w:rFonts w:hint="eastAsia" w:ascii="宋体" w:hAnsi="宋体" w:eastAsia="宋体"/>
                <w:sz w:val="24"/>
                <w:szCs w:val="24"/>
              </w:rPr>
              <w:t>1</w:t>
            </w:r>
          </w:p>
        </w:tc>
      </w:tr>
      <w:tr w14:paraId="4F97CDF2">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3836B015">
            <w:pPr>
              <w:jc w:val="center"/>
              <w:rPr>
                <w:sz w:val="24"/>
                <w:szCs w:val="24"/>
              </w:rPr>
            </w:pPr>
            <w:r>
              <w:rPr>
                <w:rFonts w:hint="eastAsia" w:ascii="宋体" w:hAnsi="宋体" w:eastAsia="宋体"/>
                <w:sz w:val="24"/>
                <w:szCs w:val="24"/>
              </w:rPr>
              <w:t>5</w:t>
            </w:r>
          </w:p>
        </w:tc>
        <w:tc>
          <w:tcPr>
            <w:tcW w:w="2267" w:type="dxa"/>
            <w:tcBorders>
              <w:top w:val="single" w:color="000000" w:sz="4" w:space="0"/>
              <w:left w:val="single" w:color="000000" w:sz="4" w:space="0"/>
              <w:bottom w:val="single" w:color="000000" w:sz="4" w:space="0"/>
              <w:right w:val="single" w:color="000000" w:sz="4" w:space="0"/>
            </w:tcBorders>
            <w:vAlign w:val="center"/>
          </w:tcPr>
          <w:p w14:paraId="250DF790">
            <w:pPr>
              <w:jc w:val="center"/>
              <w:rPr>
                <w:sz w:val="24"/>
                <w:szCs w:val="24"/>
              </w:rPr>
            </w:pPr>
            <w:r>
              <w:rPr>
                <w:rFonts w:hint="eastAsia" w:ascii="宋体" w:hAnsi="宋体" w:eastAsia="宋体"/>
                <w:sz w:val="24"/>
                <w:szCs w:val="24"/>
              </w:rPr>
              <w:t>模型评测模块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3FCDD649">
            <w:pPr>
              <w:jc w:val="left"/>
              <w:rPr>
                <w:sz w:val="24"/>
                <w:szCs w:val="24"/>
              </w:rPr>
            </w:pPr>
            <w:r>
              <w:rPr>
                <w:rFonts w:ascii="宋体" w:hAnsi="宋体" w:eastAsia="宋体"/>
                <w:sz w:val="24"/>
                <w:szCs w:val="24"/>
              </w:rPr>
              <w:t>模型评测模块为模型提供多维度、标准化的性能评测能力，是检验模型训练效果、验证场景适配性的关键环节。支持学生针对不同场景自定义评测任务，从准确率、稳定性、响应速度、泛化能力等多个维度对模型进行全面测试，并自动生成评测报告与性能对比分析。教师可基于评测结果开展针对性教学，帮助学生理解模型性能瓶颈与优化方向，该模块既实现了教学效果的量化评估，也让学生建立 “以评促改、以测促优” 的工程思维，为后续模型部署与场景应用提供科学依据。</w:t>
            </w:r>
          </w:p>
        </w:tc>
        <w:tc>
          <w:tcPr>
            <w:tcW w:w="735" w:type="dxa"/>
            <w:tcBorders>
              <w:top w:val="single" w:color="000000" w:sz="4" w:space="0"/>
              <w:left w:val="single" w:color="000000" w:sz="4" w:space="0"/>
              <w:bottom w:val="single" w:color="000000" w:sz="4" w:space="0"/>
              <w:right w:val="single" w:color="000000" w:sz="4" w:space="0"/>
            </w:tcBorders>
            <w:vAlign w:val="center"/>
          </w:tcPr>
          <w:p w14:paraId="32E8F385">
            <w:pPr>
              <w:jc w:val="center"/>
              <w:rPr>
                <w:sz w:val="24"/>
                <w:szCs w:val="24"/>
              </w:rPr>
            </w:pPr>
            <w:r>
              <w:rPr>
                <w:rFonts w:hint="eastAsia" w:ascii="宋体" w:hAnsi="宋体" w:eastAsia="宋体"/>
                <w:sz w:val="24"/>
                <w:szCs w:val="24"/>
              </w:rPr>
              <w:t>1</w:t>
            </w:r>
          </w:p>
        </w:tc>
      </w:tr>
      <w:tr w14:paraId="40D62F9A">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0DC49110">
            <w:pPr>
              <w:jc w:val="center"/>
              <w:rPr>
                <w:sz w:val="24"/>
                <w:szCs w:val="24"/>
              </w:rPr>
            </w:pPr>
            <w:r>
              <w:rPr>
                <w:rFonts w:hint="eastAsia" w:ascii="宋体" w:hAnsi="宋体" w:eastAsia="宋体"/>
                <w:sz w:val="24"/>
                <w:szCs w:val="24"/>
              </w:rPr>
              <w:t>6</w:t>
            </w:r>
          </w:p>
        </w:tc>
        <w:tc>
          <w:tcPr>
            <w:tcW w:w="2267" w:type="dxa"/>
            <w:tcBorders>
              <w:top w:val="single" w:color="000000" w:sz="4" w:space="0"/>
              <w:left w:val="single" w:color="000000" w:sz="4" w:space="0"/>
              <w:bottom w:val="single" w:color="000000" w:sz="4" w:space="0"/>
              <w:right w:val="single" w:color="000000" w:sz="4" w:space="0"/>
            </w:tcBorders>
            <w:vAlign w:val="center"/>
          </w:tcPr>
          <w:p w14:paraId="48FDC59D">
            <w:pPr>
              <w:jc w:val="center"/>
              <w:rPr>
                <w:sz w:val="24"/>
                <w:szCs w:val="24"/>
              </w:rPr>
            </w:pPr>
            <w:r>
              <w:rPr>
                <w:rFonts w:hint="eastAsia" w:ascii="宋体" w:hAnsi="宋体" w:eastAsia="宋体"/>
                <w:sz w:val="24"/>
                <w:szCs w:val="24"/>
              </w:rPr>
              <w:t>VLA模型管理模块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033625F7">
            <w:pPr>
              <w:jc w:val="left"/>
              <w:rPr>
                <w:sz w:val="24"/>
                <w:szCs w:val="24"/>
              </w:rPr>
            </w:pPr>
            <w:r>
              <w:rPr>
                <w:rFonts w:ascii="宋体" w:hAnsi="宋体" w:eastAsia="宋体"/>
                <w:sz w:val="24"/>
                <w:szCs w:val="24"/>
              </w:rPr>
              <w:t>VLA 模型管理模块为具身智能系统中的模型提供集中化的全生命周期管理能力，实现模型的统一存储、版本控制、权限管理与共享分发。模块支持教师上传与管理教学用预训练模型、场景适配模型，学生可根据实训任务需求快速调用模型，同时记录模型的使用记录、调优版本与应用场景，实现模型资源的规范化沉淀与复用。该模块既解决了传统实训中模型分散管理、版本混乱、共享困难的问题，也让学生系统掌握具身智能项目中模型资产管理的方法，理解模型迭代与版本管理对项目开发的重要性，为后续模型服务部署与场景应用奠定基础</w:t>
            </w:r>
            <w:r>
              <w:rPr>
                <w:rFonts w:hint="eastAsia" w:ascii="宋体" w:hAnsi="宋体" w:eastAsia="宋体"/>
                <w:sz w:val="24"/>
                <w:szCs w:val="24"/>
              </w:rPr>
              <w:t>。</w:t>
            </w:r>
          </w:p>
        </w:tc>
        <w:tc>
          <w:tcPr>
            <w:tcW w:w="735" w:type="dxa"/>
            <w:tcBorders>
              <w:top w:val="single" w:color="000000" w:sz="4" w:space="0"/>
              <w:left w:val="single" w:color="000000" w:sz="4" w:space="0"/>
              <w:bottom w:val="single" w:color="000000" w:sz="4" w:space="0"/>
              <w:right w:val="single" w:color="000000" w:sz="4" w:space="0"/>
            </w:tcBorders>
            <w:vAlign w:val="center"/>
          </w:tcPr>
          <w:p w14:paraId="74E364CA">
            <w:pPr>
              <w:jc w:val="center"/>
              <w:rPr>
                <w:sz w:val="24"/>
                <w:szCs w:val="24"/>
              </w:rPr>
            </w:pPr>
            <w:r>
              <w:rPr>
                <w:rFonts w:hint="eastAsia" w:ascii="宋体" w:hAnsi="宋体" w:eastAsia="宋体"/>
                <w:sz w:val="24"/>
                <w:szCs w:val="24"/>
              </w:rPr>
              <w:t>1</w:t>
            </w:r>
          </w:p>
        </w:tc>
      </w:tr>
      <w:tr w14:paraId="4685C8C5">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73ED0308">
            <w:pPr>
              <w:jc w:val="center"/>
              <w:rPr>
                <w:sz w:val="24"/>
                <w:szCs w:val="24"/>
              </w:rPr>
            </w:pPr>
            <w:r>
              <w:rPr>
                <w:rFonts w:hint="eastAsia" w:ascii="宋体" w:hAnsi="宋体" w:eastAsia="宋体"/>
                <w:sz w:val="24"/>
                <w:szCs w:val="24"/>
              </w:rPr>
              <w:t>7</w:t>
            </w:r>
          </w:p>
        </w:tc>
        <w:tc>
          <w:tcPr>
            <w:tcW w:w="2267" w:type="dxa"/>
            <w:tcBorders>
              <w:top w:val="single" w:color="000000" w:sz="4" w:space="0"/>
              <w:left w:val="single" w:color="000000" w:sz="4" w:space="0"/>
              <w:bottom w:val="single" w:color="000000" w:sz="4" w:space="0"/>
              <w:right w:val="single" w:color="000000" w:sz="4" w:space="0"/>
            </w:tcBorders>
            <w:vAlign w:val="center"/>
          </w:tcPr>
          <w:p w14:paraId="669A2CCF">
            <w:pPr>
              <w:jc w:val="center"/>
              <w:rPr>
                <w:sz w:val="24"/>
                <w:szCs w:val="24"/>
              </w:rPr>
            </w:pPr>
            <w:r>
              <w:rPr>
                <w:rFonts w:hint="eastAsia" w:ascii="宋体" w:hAnsi="宋体" w:eastAsia="宋体"/>
                <w:sz w:val="24"/>
                <w:szCs w:val="24"/>
              </w:rPr>
              <w:t>模型服务模块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3707AD9C">
            <w:pPr>
              <w:jc w:val="left"/>
              <w:rPr>
                <w:sz w:val="24"/>
                <w:szCs w:val="24"/>
              </w:rPr>
            </w:pPr>
            <w:r>
              <w:rPr>
                <w:rFonts w:ascii="宋体" w:hAnsi="宋体" w:eastAsia="宋体"/>
                <w:sz w:val="24"/>
                <w:szCs w:val="24"/>
              </w:rPr>
              <w:t>模型服务模块为模型提供一键式服务部署与运行支撑能力，实现训练后模型从离线文件到在线服务的快速转换与上线运行。模块支持学生将训练完成的模型一键部署为标准化服务接口，为后续场景应用开发、机器人本体控制提供模型调用能力，帮助学生理解模型部署的核心流程与关键指标。教师可通过平台统一管理所有学生部署的模型服务，监控服务运行状态与资源占用情况，保障实训教学的有序开展。</w:t>
            </w:r>
          </w:p>
        </w:tc>
        <w:tc>
          <w:tcPr>
            <w:tcW w:w="735" w:type="dxa"/>
            <w:tcBorders>
              <w:top w:val="single" w:color="000000" w:sz="4" w:space="0"/>
              <w:left w:val="single" w:color="000000" w:sz="4" w:space="0"/>
              <w:bottom w:val="single" w:color="000000" w:sz="4" w:space="0"/>
              <w:right w:val="single" w:color="000000" w:sz="4" w:space="0"/>
            </w:tcBorders>
            <w:vAlign w:val="center"/>
          </w:tcPr>
          <w:p w14:paraId="49F32248">
            <w:pPr>
              <w:jc w:val="center"/>
              <w:rPr>
                <w:sz w:val="24"/>
                <w:szCs w:val="24"/>
              </w:rPr>
            </w:pPr>
            <w:r>
              <w:rPr>
                <w:rFonts w:hint="eastAsia" w:ascii="宋体" w:hAnsi="宋体" w:eastAsia="宋体"/>
                <w:sz w:val="24"/>
                <w:szCs w:val="24"/>
              </w:rPr>
              <w:t>1</w:t>
            </w:r>
          </w:p>
        </w:tc>
      </w:tr>
      <w:tr w14:paraId="0A2B591A">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15740516">
            <w:pPr>
              <w:jc w:val="center"/>
              <w:rPr>
                <w:sz w:val="24"/>
                <w:szCs w:val="24"/>
              </w:rPr>
            </w:pPr>
            <w:r>
              <w:rPr>
                <w:rFonts w:hint="eastAsia" w:ascii="宋体" w:hAnsi="宋体" w:eastAsia="宋体"/>
                <w:sz w:val="24"/>
                <w:szCs w:val="24"/>
              </w:rPr>
              <w:t>8</w:t>
            </w:r>
          </w:p>
        </w:tc>
        <w:tc>
          <w:tcPr>
            <w:tcW w:w="2267" w:type="dxa"/>
            <w:tcBorders>
              <w:top w:val="single" w:color="000000" w:sz="4" w:space="0"/>
              <w:left w:val="single" w:color="000000" w:sz="4" w:space="0"/>
              <w:bottom w:val="single" w:color="000000" w:sz="4" w:space="0"/>
              <w:right w:val="single" w:color="000000" w:sz="4" w:space="0"/>
            </w:tcBorders>
            <w:vAlign w:val="center"/>
          </w:tcPr>
          <w:p w14:paraId="1EF3D677">
            <w:pPr>
              <w:jc w:val="center"/>
              <w:rPr>
                <w:sz w:val="24"/>
                <w:szCs w:val="24"/>
              </w:rPr>
            </w:pPr>
            <w:r>
              <w:rPr>
                <w:rFonts w:hint="eastAsia" w:ascii="宋体" w:hAnsi="宋体" w:eastAsia="宋体"/>
                <w:sz w:val="24"/>
                <w:szCs w:val="24"/>
              </w:rPr>
              <w:t>场景应用管理模块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7BB4EA58">
            <w:pPr>
              <w:jc w:val="left"/>
              <w:rPr>
                <w:sz w:val="24"/>
                <w:szCs w:val="24"/>
              </w:rPr>
            </w:pPr>
            <w:r>
              <w:rPr>
                <w:rFonts w:ascii="宋体" w:hAnsi="宋体" w:eastAsia="宋体"/>
                <w:sz w:val="24"/>
                <w:szCs w:val="24"/>
              </w:rPr>
              <w:t>场景应用管理模块为机器人场景应用提供全生命周期的创建、配置、管理与维护能力，是连接模型服务</w:t>
            </w:r>
            <w:r>
              <w:rPr>
                <w:rFonts w:hint="eastAsia" w:ascii="宋体" w:hAnsi="宋体" w:eastAsia="宋体"/>
                <w:sz w:val="24"/>
                <w:szCs w:val="24"/>
                <w:lang w:eastAsia="zh-CN"/>
              </w:rPr>
              <w:t>于</w:t>
            </w:r>
            <w:r>
              <w:rPr>
                <w:rFonts w:ascii="宋体" w:hAnsi="宋体" w:eastAsia="宋体"/>
                <w:sz w:val="24"/>
                <w:szCs w:val="24"/>
              </w:rPr>
              <w:t>实际场景的核心载体。模块支持教师与学生基于不同实训场景新建场景应用项目，配置机器人本体、模型服务、工作流等核心要素，实现场景应用的快速搭建与自定义开发。教师可对学生的场景应用项目进行统一管理、版本控制与教学指导，学生则可通过模块快速构建不同场景的机器人应用原型，开展测试与优化。该模块既为学生提供了场景应用开发的标准化工具，也让学生理解具身智能系统中多模块协同工作的原理，为后续场景应用监控与功能迭代奠定基础</w:t>
            </w:r>
            <w:r>
              <w:rPr>
                <w:rFonts w:hint="eastAsia" w:ascii="宋体" w:hAnsi="宋体" w:eastAsia="宋体"/>
                <w:sz w:val="24"/>
                <w:szCs w:val="24"/>
              </w:rPr>
              <w:t>。</w:t>
            </w:r>
          </w:p>
        </w:tc>
        <w:tc>
          <w:tcPr>
            <w:tcW w:w="735" w:type="dxa"/>
            <w:tcBorders>
              <w:top w:val="single" w:color="000000" w:sz="4" w:space="0"/>
              <w:left w:val="single" w:color="000000" w:sz="4" w:space="0"/>
              <w:bottom w:val="single" w:color="000000" w:sz="4" w:space="0"/>
              <w:right w:val="single" w:color="000000" w:sz="4" w:space="0"/>
            </w:tcBorders>
            <w:vAlign w:val="center"/>
          </w:tcPr>
          <w:p w14:paraId="1B851630">
            <w:pPr>
              <w:jc w:val="center"/>
              <w:rPr>
                <w:sz w:val="24"/>
                <w:szCs w:val="24"/>
              </w:rPr>
            </w:pPr>
            <w:r>
              <w:rPr>
                <w:rFonts w:hint="eastAsia" w:ascii="宋体" w:hAnsi="宋体" w:eastAsia="宋体"/>
                <w:sz w:val="24"/>
                <w:szCs w:val="24"/>
              </w:rPr>
              <w:t>1</w:t>
            </w:r>
          </w:p>
        </w:tc>
      </w:tr>
      <w:tr w14:paraId="1ED2E4C7">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3C05EFB8">
            <w:pPr>
              <w:jc w:val="center"/>
              <w:rPr>
                <w:sz w:val="24"/>
                <w:szCs w:val="24"/>
              </w:rPr>
            </w:pPr>
            <w:r>
              <w:rPr>
                <w:rFonts w:hint="eastAsia" w:ascii="宋体" w:hAnsi="宋体" w:eastAsia="宋体"/>
                <w:sz w:val="24"/>
                <w:szCs w:val="24"/>
              </w:rPr>
              <w:t>9</w:t>
            </w:r>
          </w:p>
        </w:tc>
        <w:tc>
          <w:tcPr>
            <w:tcW w:w="2267" w:type="dxa"/>
            <w:tcBorders>
              <w:top w:val="single" w:color="000000" w:sz="4" w:space="0"/>
              <w:left w:val="single" w:color="000000" w:sz="4" w:space="0"/>
              <w:bottom w:val="single" w:color="000000" w:sz="4" w:space="0"/>
              <w:right w:val="single" w:color="000000" w:sz="4" w:space="0"/>
            </w:tcBorders>
            <w:vAlign w:val="center"/>
          </w:tcPr>
          <w:p w14:paraId="4ACA454D">
            <w:pPr>
              <w:jc w:val="center"/>
              <w:rPr>
                <w:sz w:val="24"/>
                <w:szCs w:val="24"/>
              </w:rPr>
            </w:pPr>
            <w:r>
              <w:rPr>
                <w:rFonts w:hint="eastAsia" w:ascii="宋体" w:hAnsi="宋体" w:eastAsia="宋体"/>
                <w:sz w:val="24"/>
                <w:szCs w:val="24"/>
              </w:rPr>
              <w:t>场景应用监控模块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1CD6C614">
            <w:pPr>
              <w:jc w:val="left"/>
              <w:rPr>
                <w:sz w:val="24"/>
                <w:szCs w:val="24"/>
              </w:rPr>
            </w:pPr>
            <w:r>
              <w:rPr>
                <w:rFonts w:ascii="宋体" w:hAnsi="宋体" w:eastAsia="宋体"/>
                <w:sz w:val="24"/>
                <w:szCs w:val="24"/>
              </w:rPr>
              <w:t>场景应用监控模块为机器人场景应用提供全流程的运行监控、体验反馈与状态分析能力，是保障场景应用稳定运行与持续优化的关键支撑。模块支持学生实时查看机器人场景应用的运行状态、传感器数据、模型调用日志与执行结果，记录应用运行过程中的</w:t>
            </w:r>
            <w:r>
              <w:rPr>
                <w:rFonts w:hint="eastAsia" w:ascii="宋体" w:hAnsi="宋体" w:eastAsia="宋体"/>
                <w:sz w:val="24"/>
                <w:szCs w:val="24"/>
                <w:lang w:eastAsia="zh-CN"/>
              </w:rPr>
              <w:t>异常情况</w:t>
            </w:r>
            <w:r>
              <w:rPr>
                <w:rFonts w:ascii="宋体" w:hAnsi="宋体" w:eastAsia="宋体"/>
                <w:sz w:val="24"/>
                <w:szCs w:val="24"/>
              </w:rPr>
              <w:t>，帮助学生快速定位应用缺陷并进行优化调整。教师可通过监控数据全面掌握学生的应用开发质量与实训进展，开展针对性指导与教学评价。</w:t>
            </w:r>
          </w:p>
        </w:tc>
        <w:tc>
          <w:tcPr>
            <w:tcW w:w="735" w:type="dxa"/>
            <w:tcBorders>
              <w:top w:val="single" w:color="000000" w:sz="4" w:space="0"/>
              <w:left w:val="single" w:color="000000" w:sz="4" w:space="0"/>
              <w:bottom w:val="single" w:color="000000" w:sz="4" w:space="0"/>
              <w:right w:val="single" w:color="000000" w:sz="4" w:space="0"/>
            </w:tcBorders>
            <w:vAlign w:val="center"/>
          </w:tcPr>
          <w:p w14:paraId="3590CE3F">
            <w:pPr>
              <w:jc w:val="center"/>
              <w:rPr>
                <w:sz w:val="24"/>
                <w:szCs w:val="24"/>
              </w:rPr>
            </w:pPr>
            <w:r>
              <w:rPr>
                <w:rFonts w:hint="eastAsia" w:ascii="宋体" w:hAnsi="宋体" w:eastAsia="宋体"/>
                <w:sz w:val="24"/>
                <w:szCs w:val="24"/>
              </w:rPr>
              <w:t>1</w:t>
            </w:r>
          </w:p>
        </w:tc>
      </w:tr>
      <w:tr w14:paraId="6BED6389">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1B9F6CBA">
            <w:pPr>
              <w:jc w:val="center"/>
              <w:rPr>
                <w:sz w:val="24"/>
                <w:szCs w:val="24"/>
              </w:rPr>
            </w:pPr>
            <w:r>
              <w:rPr>
                <w:rFonts w:hint="eastAsia" w:ascii="宋体" w:hAnsi="宋体" w:eastAsia="宋体"/>
                <w:sz w:val="24"/>
                <w:szCs w:val="24"/>
              </w:rPr>
              <w:t>10</w:t>
            </w:r>
          </w:p>
        </w:tc>
        <w:tc>
          <w:tcPr>
            <w:tcW w:w="2267" w:type="dxa"/>
            <w:tcBorders>
              <w:top w:val="single" w:color="000000" w:sz="4" w:space="0"/>
              <w:left w:val="single" w:color="000000" w:sz="4" w:space="0"/>
              <w:bottom w:val="single" w:color="000000" w:sz="4" w:space="0"/>
              <w:right w:val="single" w:color="000000" w:sz="4" w:space="0"/>
            </w:tcBorders>
            <w:vAlign w:val="center"/>
          </w:tcPr>
          <w:p w14:paraId="4E1AEB85">
            <w:pPr>
              <w:jc w:val="center"/>
              <w:rPr>
                <w:sz w:val="24"/>
                <w:szCs w:val="24"/>
              </w:rPr>
            </w:pPr>
            <w:r>
              <w:rPr>
                <w:rFonts w:hint="eastAsia" w:ascii="宋体" w:hAnsi="宋体" w:eastAsia="宋体"/>
                <w:sz w:val="24"/>
                <w:szCs w:val="24"/>
              </w:rPr>
              <w:t>技能管理模块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5A3627BF">
            <w:pPr>
              <w:jc w:val="left"/>
              <w:rPr>
                <w:sz w:val="24"/>
                <w:szCs w:val="24"/>
              </w:rPr>
            </w:pPr>
            <w:r>
              <w:rPr>
                <w:rFonts w:ascii="宋体" w:hAnsi="宋体" w:eastAsia="宋体"/>
                <w:sz w:val="24"/>
                <w:szCs w:val="24"/>
              </w:rPr>
              <w:t>技能管理模块为机器人不同场景的运动技能、软件技能提供标准化的创建、管理与复用能力，是实现具身智能技能沉淀与快速调用的核心平台。模块支持教师将高寒农业等场景下的机器人运动技能与软件技能封装为标准化技能库，学生可直接调用已有技能快速搭建场景应用，也可根据实训需求自定义新的技能并上传至平台沉淀复用。教师可对技能库进行统一管理、审核与更新，保障教学资源的规范性与适用性。该模块既大幅降低了场景应用开发的门槛，也让学生理解具身智能技能的模块化设计思想，为后续工作流编排与复杂场景应用开发提供标准化的技能支撑。</w:t>
            </w:r>
          </w:p>
        </w:tc>
        <w:tc>
          <w:tcPr>
            <w:tcW w:w="735" w:type="dxa"/>
            <w:tcBorders>
              <w:top w:val="single" w:color="000000" w:sz="4" w:space="0"/>
              <w:left w:val="single" w:color="000000" w:sz="4" w:space="0"/>
              <w:bottom w:val="single" w:color="000000" w:sz="4" w:space="0"/>
              <w:right w:val="single" w:color="000000" w:sz="4" w:space="0"/>
            </w:tcBorders>
            <w:vAlign w:val="center"/>
          </w:tcPr>
          <w:p w14:paraId="0BC7BB96">
            <w:pPr>
              <w:jc w:val="center"/>
              <w:rPr>
                <w:sz w:val="24"/>
                <w:szCs w:val="24"/>
              </w:rPr>
            </w:pPr>
            <w:r>
              <w:rPr>
                <w:rFonts w:hint="eastAsia" w:ascii="宋体" w:hAnsi="宋体" w:eastAsia="宋体"/>
                <w:sz w:val="24"/>
                <w:szCs w:val="24"/>
              </w:rPr>
              <w:t>1</w:t>
            </w:r>
          </w:p>
        </w:tc>
      </w:tr>
      <w:tr w14:paraId="3ADF5FB7">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0D107922">
            <w:pPr>
              <w:jc w:val="center"/>
              <w:rPr>
                <w:sz w:val="24"/>
                <w:szCs w:val="24"/>
              </w:rPr>
            </w:pPr>
            <w:r>
              <w:rPr>
                <w:rFonts w:hint="eastAsia" w:ascii="宋体" w:hAnsi="宋体" w:eastAsia="宋体"/>
                <w:sz w:val="24"/>
                <w:szCs w:val="24"/>
              </w:rPr>
              <w:t>11</w:t>
            </w:r>
          </w:p>
        </w:tc>
        <w:tc>
          <w:tcPr>
            <w:tcW w:w="2267" w:type="dxa"/>
            <w:tcBorders>
              <w:top w:val="single" w:color="000000" w:sz="4" w:space="0"/>
              <w:left w:val="single" w:color="000000" w:sz="4" w:space="0"/>
              <w:bottom w:val="single" w:color="000000" w:sz="4" w:space="0"/>
              <w:right w:val="single" w:color="000000" w:sz="4" w:space="0"/>
            </w:tcBorders>
            <w:vAlign w:val="center"/>
          </w:tcPr>
          <w:p w14:paraId="4C03B24A">
            <w:pPr>
              <w:jc w:val="center"/>
              <w:rPr>
                <w:sz w:val="24"/>
                <w:szCs w:val="24"/>
              </w:rPr>
            </w:pPr>
            <w:r>
              <w:rPr>
                <w:rFonts w:hint="eastAsia" w:ascii="宋体" w:hAnsi="宋体" w:eastAsia="宋体"/>
                <w:sz w:val="24"/>
                <w:szCs w:val="24"/>
              </w:rPr>
              <w:t>提示工程模块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3AF3388A">
            <w:pPr>
              <w:jc w:val="left"/>
              <w:rPr>
                <w:sz w:val="24"/>
                <w:szCs w:val="24"/>
              </w:rPr>
            </w:pPr>
            <w:r>
              <w:rPr>
                <w:rFonts w:ascii="宋体" w:hAnsi="宋体" w:eastAsia="宋体"/>
                <w:sz w:val="24"/>
                <w:szCs w:val="24"/>
              </w:rPr>
              <w:t>提示工程模块为机器人场景规划中的提示词设计、管理与优化提供专业化工具，是大语言模型驱动具身智能决策的关键支撑。模块内置场景化提示词模板库，支持学生根据不同场景需求自定义提示词，实现机器人任务规划、交互指令、决策逻辑的精准控制</w:t>
            </w:r>
            <w:r>
              <w:rPr>
                <w:rFonts w:hint="eastAsia" w:ascii="宋体" w:hAnsi="宋体" w:eastAsia="宋体"/>
                <w:sz w:val="24"/>
                <w:szCs w:val="24"/>
              </w:rPr>
              <w:t>，</w:t>
            </w:r>
            <w:r>
              <w:rPr>
                <w:rFonts w:ascii="宋体" w:hAnsi="宋体" w:eastAsia="宋体"/>
                <w:sz w:val="24"/>
                <w:szCs w:val="24"/>
              </w:rPr>
              <w:t>帮助学生理解提示词对大语言模型决策性能的影响。教师可基于模块开展提示工程教学，指导学生掌握不同场景下的提示词设计技巧，解决传统教学中提示词设计无方法、无标准的痛点。该模块既为大语言模型在具身智能中的应用提供了教学抓手，也让学生掌握提示工程这一核心技能，为后续工作流编排与复杂任务规划奠定基础。</w:t>
            </w:r>
          </w:p>
        </w:tc>
        <w:tc>
          <w:tcPr>
            <w:tcW w:w="735" w:type="dxa"/>
            <w:tcBorders>
              <w:top w:val="single" w:color="000000" w:sz="4" w:space="0"/>
              <w:left w:val="single" w:color="000000" w:sz="4" w:space="0"/>
              <w:bottom w:val="single" w:color="000000" w:sz="4" w:space="0"/>
              <w:right w:val="single" w:color="000000" w:sz="4" w:space="0"/>
            </w:tcBorders>
            <w:vAlign w:val="center"/>
          </w:tcPr>
          <w:p w14:paraId="1096D232">
            <w:pPr>
              <w:jc w:val="center"/>
              <w:rPr>
                <w:sz w:val="24"/>
                <w:szCs w:val="24"/>
              </w:rPr>
            </w:pPr>
            <w:r>
              <w:rPr>
                <w:rFonts w:hint="eastAsia" w:ascii="宋体" w:hAnsi="宋体" w:eastAsia="宋体"/>
                <w:sz w:val="24"/>
                <w:szCs w:val="24"/>
              </w:rPr>
              <w:t>1</w:t>
            </w:r>
          </w:p>
        </w:tc>
      </w:tr>
      <w:tr w14:paraId="06C38F3A">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2667C520">
            <w:pPr>
              <w:jc w:val="center"/>
              <w:rPr>
                <w:sz w:val="24"/>
                <w:szCs w:val="24"/>
              </w:rPr>
            </w:pPr>
            <w:r>
              <w:rPr>
                <w:rFonts w:hint="eastAsia" w:ascii="宋体" w:hAnsi="宋体" w:eastAsia="宋体"/>
                <w:sz w:val="24"/>
                <w:szCs w:val="24"/>
              </w:rPr>
              <w:t>12</w:t>
            </w:r>
          </w:p>
        </w:tc>
        <w:tc>
          <w:tcPr>
            <w:tcW w:w="2267" w:type="dxa"/>
            <w:tcBorders>
              <w:top w:val="single" w:color="000000" w:sz="4" w:space="0"/>
              <w:left w:val="single" w:color="000000" w:sz="4" w:space="0"/>
              <w:bottom w:val="single" w:color="000000" w:sz="4" w:space="0"/>
              <w:right w:val="single" w:color="000000" w:sz="4" w:space="0"/>
            </w:tcBorders>
            <w:vAlign w:val="center"/>
          </w:tcPr>
          <w:p w14:paraId="760227B3">
            <w:pPr>
              <w:jc w:val="center"/>
              <w:rPr>
                <w:sz w:val="24"/>
                <w:szCs w:val="24"/>
              </w:rPr>
            </w:pPr>
            <w:r>
              <w:rPr>
                <w:rFonts w:hint="eastAsia" w:ascii="宋体" w:hAnsi="宋体" w:eastAsia="宋体"/>
                <w:sz w:val="24"/>
                <w:szCs w:val="24"/>
              </w:rPr>
              <w:t>工作流模块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3960AEEC">
            <w:pPr>
              <w:jc w:val="left"/>
              <w:rPr>
                <w:sz w:val="24"/>
                <w:szCs w:val="24"/>
              </w:rPr>
            </w:pPr>
            <w:r>
              <w:rPr>
                <w:rFonts w:ascii="宋体" w:hAnsi="宋体" w:eastAsia="宋体"/>
                <w:sz w:val="24"/>
                <w:szCs w:val="24"/>
              </w:rPr>
              <w:t>工作流模块为机器人不同场景的应用提供可视化的编排、构建、测试与部署能力。模块支持学生通过拖拽式可视化界面，将</w:t>
            </w:r>
            <w:r>
              <w:rPr>
                <w:rFonts w:hint="eastAsia" w:ascii="宋体" w:hAnsi="宋体" w:eastAsia="宋体"/>
                <w:sz w:val="24"/>
                <w:szCs w:val="24"/>
              </w:rPr>
              <w:t>相关</w:t>
            </w:r>
            <w:r>
              <w:rPr>
                <w:rFonts w:ascii="宋体" w:hAnsi="宋体" w:eastAsia="宋体"/>
                <w:sz w:val="24"/>
                <w:szCs w:val="24"/>
              </w:rPr>
              <w:t>要素编排为完整的机器人应用工作流，无需编写复杂代码即可实现场景应用的快速搭建，同时提供工作流测试、调试与优化工具，帮助学生验证工作流逻辑并调整执行流程。教师可基于模块开展项目式教学，指导学生构建复杂场景下的机器人应用工作流，培养学生的系统设计与流程规划能力。该模块大幅降低了复杂场景应用开发的门槛，让学生聚焦于逻辑设计而非底层代码实现，为后续机器人代码开发与本体接入提供更高层次的系统视角。</w:t>
            </w:r>
          </w:p>
        </w:tc>
        <w:tc>
          <w:tcPr>
            <w:tcW w:w="735" w:type="dxa"/>
            <w:tcBorders>
              <w:top w:val="single" w:color="000000" w:sz="4" w:space="0"/>
              <w:left w:val="single" w:color="000000" w:sz="4" w:space="0"/>
              <w:bottom w:val="single" w:color="000000" w:sz="4" w:space="0"/>
              <w:right w:val="single" w:color="000000" w:sz="4" w:space="0"/>
            </w:tcBorders>
            <w:vAlign w:val="center"/>
          </w:tcPr>
          <w:p w14:paraId="62ED550C">
            <w:pPr>
              <w:jc w:val="center"/>
              <w:rPr>
                <w:sz w:val="24"/>
                <w:szCs w:val="24"/>
              </w:rPr>
            </w:pPr>
            <w:r>
              <w:rPr>
                <w:rFonts w:hint="eastAsia" w:ascii="宋体" w:hAnsi="宋体" w:eastAsia="宋体"/>
                <w:sz w:val="24"/>
                <w:szCs w:val="24"/>
              </w:rPr>
              <w:t>1</w:t>
            </w:r>
          </w:p>
        </w:tc>
      </w:tr>
      <w:tr w14:paraId="22589F43">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175A5740">
            <w:pPr>
              <w:jc w:val="center"/>
              <w:rPr>
                <w:sz w:val="24"/>
                <w:szCs w:val="24"/>
              </w:rPr>
            </w:pPr>
            <w:r>
              <w:rPr>
                <w:rFonts w:hint="eastAsia" w:ascii="宋体" w:hAnsi="宋体" w:eastAsia="宋体"/>
                <w:sz w:val="24"/>
                <w:szCs w:val="24"/>
              </w:rPr>
              <w:t>13</w:t>
            </w:r>
          </w:p>
        </w:tc>
        <w:tc>
          <w:tcPr>
            <w:tcW w:w="2267" w:type="dxa"/>
            <w:tcBorders>
              <w:top w:val="single" w:color="000000" w:sz="4" w:space="0"/>
              <w:left w:val="single" w:color="000000" w:sz="4" w:space="0"/>
              <w:bottom w:val="single" w:color="000000" w:sz="4" w:space="0"/>
              <w:right w:val="single" w:color="000000" w:sz="4" w:space="0"/>
            </w:tcBorders>
            <w:vAlign w:val="center"/>
          </w:tcPr>
          <w:p w14:paraId="7FD1E80C">
            <w:pPr>
              <w:jc w:val="center"/>
              <w:rPr>
                <w:sz w:val="24"/>
                <w:szCs w:val="24"/>
              </w:rPr>
            </w:pPr>
            <w:r>
              <w:rPr>
                <w:rFonts w:hint="eastAsia" w:ascii="宋体" w:hAnsi="宋体" w:eastAsia="宋体"/>
                <w:sz w:val="24"/>
                <w:szCs w:val="24"/>
              </w:rPr>
              <w:t>机器人代码开发模块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0A89109A">
            <w:pPr>
              <w:jc w:val="left"/>
              <w:rPr>
                <w:sz w:val="24"/>
                <w:szCs w:val="24"/>
              </w:rPr>
            </w:pPr>
            <w:r>
              <w:rPr>
                <w:rFonts w:ascii="宋体" w:hAnsi="宋体" w:eastAsia="宋体"/>
                <w:sz w:val="24"/>
                <w:szCs w:val="24"/>
              </w:rPr>
              <w:t>机器人代码开发模块为机器人本体控制提供完整的代码开发、调试、测试能力，是衔接上层模型服务与底层硬件控制的关键环节。模块支持学生通过低代码或代码方式编写机器人本体控制逻辑，实现关节控制、任务执行等核心功能，帮助学生快速定位并修复问题。教师可通过平台开展针对性的编程指导与教学评价。该模块让学生系统掌握机器人底层控制与代码开发的核心技能，打通全链路。</w:t>
            </w:r>
          </w:p>
        </w:tc>
        <w:tc>
          <w:tcPr>
            <w:tcW w:w="735" w:type="dxa"/>
            <w:tcBorders>
              <w:top w:val="single" w:color="000000" w:sz="4" w:space="0"/>
              <w:left w:val="single" w:color="000000" w:sz="4" w:space="0"/>
              <w:bottom w:val="single" w:color="000000" w:sz="4" w:space="0"/>
              <w:right w:val="single" w:color="000000" w:sz="4" w:space="0"/>
            </w:tcBorders>
            <w:vAlign w:val="center"/>
          </w:tcPr>
          <w:p w14:paraId="2E1F2FE1">
            <w:pPr>
              <w:jc w:val="center"/>
              <w:rPr>
                <w:sz w:val="24"/>
                <w:szCs w:val="24"/>
              </w:rPr>
            </w:pPr>
            <w:r>
              <w:rPr>
                <w:rFonts w:hint="eastAsia" w:ascii="宋体" w:hAnsi="宋体" w:eastAsia="宋体"/>
                <w:sz w:val="24"/>
                <w:szCs w:val="24"/>
              </w:rPr>
              <w:t>1</w:t>
            </w:r>
          </w:p>
        </w:tc>
      </w:tr>
      <w:tr w14:paraId="465293E6">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3CE2A229">
            <w:pPr>
              <w:jc w:val="center"/>
              <w:rPr>
                <w:sz w:val="24"/>
                <w:szCs w:val="24"/>
              </w:rPr>
            </w:pPr>
            <w:r>
              <w:rPr>
                <w:rFonts w:hint="eastAsia" w:ascii="宋体" w:hAnsi="宋体" w:eastAsia="宋体"/>
                <w:sz w:val="24"/>
                <w:szCs w:val="24"/>
              </w:rPr>
              <w:t>14</w:t>
            </w:r>
          </w:p>
        </w:tc>
        <w:tc>
          <w:tcPr>
            <w:tcW w:w="2267" w:type="dxa"/>
            <w:tcBorders>
              <w:top w:val="single" w:color="000000" w:sz="4" w:space="0"/>
              <w:left w:val="single" w:color="000000" w:sz="4" w:space="0"/>
              <w:bottom w:val="single" w:color="000000" w:sz="4" w:space="0"/>
              <w:right w:val="single" w:color="000000" w:sz="4" w:space="0"/>
            </w:tcBorders>
            <w:vAlign w:val="center"/>
          </w:tcPr>
          <w:p w14:paraId="5D73CA0C">
            <w:pPr>
              <w:jc w:val="center"/>
              <w:rPr>
                <w:sz w:val="24"/>
                <w:szCs w:val="24"/>
              </w:rPr>
            </w:pPr>
            <w:r>
              <w:rPr>
                <w:rFonts w:hint="eastAsia" w:ascii="宋体" w:hAnsi="宋体" w:eastAsia="宋体"/>
                <w:sz w:val="24"/>
                <w:szCs w:val="24"/>
              </w:rPr>
              <w:t>机器人管理模块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2F2771EA">
            <w:pPr>
              <w:jc w:val="left"/>
              <w:rPr>
                <w:sz w:val="24"/>
                <w:szCs w:val="24"/>
              </w:rPr>
            </w:pPr>
            <w:r>
              <w:rPr>
                <w:rFonts w:ascii="宋体" w:hAnsi="宋体" w:eastAsia="宋体"/>
                <w:sz w:val="24"/>
                <w:szCs w:val="24"/>
              </w:rPr>
              <w:t>机器人管理模块为平台内所有机器人设备提供集中化的统一纳管、状态监控能力，是保障实训教学中多设备有序运行的关键支撑。模块支持教师对不同型号、不同场景的机器人设备进行信息录入、状态监控、远程控制，实时查看设备在线状态。学生可通过模块查看设备状态并开展实训操作，保障教学过程的有序开展。该模块解决了传统实训中机器人设备分散管理、状态不透明、权限混乱的痛点，为大规模、多设备的具身智能实训教学提供了可靠的设备管理支撑。</w:t>
            </w:r>
          </w:p>
        </w:tc>
        <w:tc>
          <w:tcPr>
            <w:tcW w:w="735" w:type="dxa"/>
            <w:tcBorders>
              <w:top w:val="single" w:color="000000" w:sz="4" w:space="0"/>
              <w:left w:val="single" w:color="000000" w:sz="4" w:space="0"/>
              <w:bottom w:val="single" w:color="000000" w:sz="4" w:space="0"/>
              <w:right w:val="single" w:color="000000" w:sz="4" w:space="0"/>
            </w:tcBorders>
            <w:vAlign w:val="center"/>
          </w:tcPr>
          <w:p w14:paraId="0A76FFDD">
            <w:pPr>
              <w:jc w:val="center"/>
              <w:rPr>
                <w:sz w:val="24"/>
                <w:szCs w:val="24"/>
              </w:rPr>
            </w:pPr>
            <w:r>
              <w:rPr>
                <w:rFonts w:hint="eastAsia" w:ascii="宋体" w:hAnsi="宋体" w:eastAsia="宋体"/>
                <w:sz w:val="24"/>
                <w:szCs w:val="24"/>
              </w:rPr>
              <w:t>1</w:t>
            </w:r>
          </w:p>
        </w:tc>
      </w:tr>
      <w:tr w14:paraId="79177141">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6900C248">
            <w:pPr>
              <w:jc w:val="center"/>
              <w:rPr>
                <w:sz w:val="24"/>
                <w:szCs w:val="24"/>
              </w:rPr>
            </w:pPr>
            <w:r>
              <w:rPr>
                <w:rFonts w:hint="eastAsia" w:ascii="宋体" w:hAnsi="宋体" w:eastAsia="宋体"/>
                <w:sz w:val="24"/>
                <w:szCs w:val="24"/>
              </w:rPr>
              <w:t>15</w:t>
            </w:r>
          </w:p>
        </w:tc>
        <w:tc>
          <w:tcPr>
            <w:tcW w:w="2267" w:type="dxa"/>
            <w:tcBorders>
              <w:top w:val="single" w:color="000000" w:sz="4" w:space="0"/>
              <w:left w:val="single" w:color="000000" w:sz="4" w:space="0"/>
              <w:bottom w:val="single" w:color="000000" w:sz="4" w:space="0"/>
              <w:right w:val="single" w:color="000000" w:sz="4" w:space="0"/>
            </w:tcBorders>
            <w:vAlign w:val="center"/>
          </w:tcPr>
          <w:p w14:paraId="5D2A3B4A">
            <w:pPr>
              <w:jc w:val="center"/>
              <w:rPr>
                <w:sz w:val="24"/>
                <w:szCs w:val="24"/>
              </w:rPr>
            </w:pPr>
            <w:r>
              <w:rPr>
                <w:rFonts w:hint="eastAsia" w:ascii="宋体" w:hAnsi="宋体" w:eastAsia="宋体"/>
                <w:sz w:val="24"/>
                <w:szCs w:val="24"/>
              </w:rPr>
              <w:t>后台管理模块</w:t>
            </w:r>
          </w:p>
        </w:tc>
        <w:tc>
          <w:tcPr>
            <w:tcW w:w="5808" w:type="dxa"/>
            <w:tcBorders>
              <w:top w:val="single" w:color="000000" w:sz="4" w:space="0"/>
              <w:left w:val="single" w:color="000000" w:sz="4" w:space="0"/>
              <w:bottom w:val="single" w:color="000000" w:sz="4" w:space="0"/>
              <w:right w:val="single" w:color="000000" w:sz="4" w:space="0"/>
            </w:tcBorders>
            <w:vAlign w:val="center"/>
          </w:tcPr>
          <w:p w14:paraId="5DD81856">
            <w:pPr>
              <w:jc w:val="left"/>
              <w:rPr>
                <w:sz w:val="24"/>
                <w:szCs w:val="24"/>
              </w:rPr>
            </w:pPr>
            <w:r>
              <w:rPr>
                <w:rFonts w:ascii="宋体" w:hAnsi="宋体" w:eastAsia="宋体"/>
                <w:sz w:val="24"/>
                <w:szCs w:val="24"/>
              </w:rPr>
              <w:t>后台管理模块为平台整体运行提供全面的用户管理、权限管理、资源管理与系统监控能力，是保障平台稳定运行与教学有序开展的核心支撑。模块支持教师对平台用户进行账号创建、角色分配与权限管控，同时提供教学资源的统一管理与维护，保障教学资源的规范性与安全性。此外，模块还提供系统运行监控、日志审计与故障排查功能，帮助管理员实时掌握平台运行状态，及时处理系统异常与故障问题。该模块实现了平台教学、实训、管理的一体化管控，为具身智能大模型及服务云平台的长期稳定运行提供了全面的后台支撑。</w:t>
            </w:r>
          </w:p>
        </w:tc>
        <w:tc>
          <w:tcPr>
            <w:tcW w:w="735" w:type="dxa"/>
            <w:tcBorders>
              <w:top w:val="single" w:color="000000" w:sz="4" w:space="0"/>
              <w:left w:val="single" w:color="000000" w:sz="4" w:space="0"/>
              <w:bottom w:val="single" w:color="000000" w:sz="4" w:space="0"/>
              <w:right w:val="single" w:color="000000" w:sz="4" w:space="0"/>
            </w:tcBorders>
            <w:vAlign w:val="center"/>
          </w:tcPr>
          <w:p w14:paraId="68D15628">
            <w:pPr>
              <w:jc w:val="center"/>
              <w:rPr>
                <w:sz w:val="24"/>
                <w:szCs w:val="24"/>
              </w:rPr>
            </w:pPr>
            <w:r>
              <w:rPr>
                <w:rFonts w:hint="eastAsia" w:ascii="宋体" w:hAnsi="宋体" w:eastAsia="宋体"/>
                <w:sz w:val="24"/>
                <w:szCs w:val="24"/>
              </w:rPr>
              <w:t>1</w:t>
            </w:r>
          </w:p>
        </w:tc>
      </w:tr>
      <w:tr w14:paraId="63A9CB8F">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0A5A">
            <w:pPr>
              <w:jc w:val="center"/>
              <w:rPr>
                <w:rFonts w:hint="eastAsia" w:asciiTheme="minorHAnsi" w:hAnsiTheme="minorHAnsi" w:eastAsiaTheme="minorEastAsia" w:cstheme="minorBidi"/>
                <w:sz w:val="24"/>
                <w:szCs w:val="24"/>
                <w:lang w:val="en-US" w:eastAsia="zh-CN" w:bidi="ar-SA"/>
              </w:rPr>
            </w:pPr>
            <w:r>
              <w:rPr>
                <w:rFonts w:hint="eastAsia" w:ascii="宋体" w:hAnsi="宋体" w:eastAsia="宋体"/>
                <w:sz w:val="24"/>
                <w:szCs w:val="24"/>
              </w:rPr>
              <w:t>16</w:t>
            </w:r>
          </w:p>
        </w:tc>
        <w:tc>
          <w:tcPr>
            <w:tcW w:w="2267" w:type="dxa"/>
            <w:tcBorders>
              <w:top w:val="single" w:color="000000" w:sz="4" w:space="0"/>
              <w:left w:val="single" w:color="000000" w:sz="4" w:space="0"/>
              <w:bottom w:val="single" w:color="000000" w:sz="4" w:space="0"/>
              <w:right w:val="single" w:color="000000" w:sz="4" w:space="0"/>
            </w:tcBorders>
            <w:vAlign w:val="center"/>
          </w:tcPr>
          <w:p w14:paraId="6F0F2D05">
            <w:pPr>
              <w:jc w:val="center"/>
              <w:rPr>
                <w:rFonts w:hint="eastAsia" w:ascii="宋体" w:hAnsi="宋体" w:eastAsia="宋体"/>
                <w:sz w:val="24"/>
                <w:szCs w:val="24"/>
              </w:rPr>
            </w:pPr>
            <w:r>
              <w:rPr>
                <w:rFonts w:hint="eastAsia" w:ascii="宋体" w:hAnsi="宋体" w:eastAsia="宋体"/>
                <w:sz w:val="24"/>
                <w:szCs w:val="24"/>
              </w:rPr>
              <w:t>具身智能开发工具套件</w:t>
            </w:r>
          </w:p>
        </w:tc>
        <w:tc>
          <w:tcPr>
            <w:tcW w:w="5808" w:type="dxa"/>
            <w:tcBorders>
              <w:top w:val="single" w:color="000000" w:sz="4" w:space="0"/>
              <w:left w:val="single" w:color="000000" w:sz="4" w:space="0"/>
              <w:bottom w:val="single" w:color="000000" w:sz="4" w:space="0"/>
              <w:right w:val="single" w:color="000000" w:sz="4" w:space="0"/>
            </w:tcBorders>
            <w:vAlign w:val="center"/>
          </w:tcPr>
          <w:p w14:paraId="16C3841E">
            <w:pPr>
              <w:jc w:val="left"/>
              <w:rPr>
                <w:rFonts w:hint="eastAsia" w:ascii="宋体" w:hAnsi="宋体" w:eastAsia="宋体"/>
                <w:sz w:val="24"/>
                <w:szCs w:val="24"/>
                <w:lang w:val="en-US" w:eastAsia="zh-CN"/>
              </w:rPr>
            </w:pPr>
            <w:r>
              <w:rPr>
                <w:rFonts w:hint="eastAsia" w:ascii="宋体" w:hAnsi="宋体" w:eastAsia="宋体"/>
                <w:sz w:val="24"/>
                <w:szCs w:val="24"/>
              </w:rPr>
              <w:t>包括具身智能数据采集工具、具身智能技能工具、具身智能流程开发工具、具身智能机器人运维工具等</w:t>
            </w:r>
            <w:r>
              <w:rPr>
                <w:rFonts w:hint="eastAsia" w:ascii="宋体" w:hAnsi="宋体" w:eastAsia="宋体"/>
                <w:sz w:val="24"/>
                <w:szCs w:val="24"/>
                <w:lang w:eastAsia="zh-CN"/>
              </w:rPr>
              <w:t>。</w:t>
            </w:r>
          </w:p>
        </w:tc>
        <w:tc>
          <w:tcPr>
            <w:tcW w:w="735" w:type="dxa"/>
            <w:tcBorders>
              <w:top w:val="single" w:color="000000" w:sz="4" w:space="0"/>
              <w:left w:val="single" w:color="000000" w:sz="4" w:space="0"/>
              <w:bottom w:val="single" w:color="000000" w:sz="4" w:space="0"/>
              <w:right w:val="single" w:color="000000" w:sz="4" w:space="0"/>
            </w:tcBorders>
            <w:vAlign w:val="center"/>
          </w:tcPr>
          <w:p w14:paraId="2EFFA126">
            <w:pPr>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1</w:t>
            </w:r>
          </w:p>
        </w:tc>
      </w:tr>
      <w:tr w14:paraId="5DE7737C">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C4C0">
            <w:pPr>
              <w:jc w:val="center"/>
              <w:rPr>
                <w:rFonts w:hint="default" w:ascii="宋体" w:hAnsi="宋体" w:eastAsia="宋体" w:cstheme="minorBidi"/>
                <w:sz w:val="24"/>
                <w:szCs w:val="24"/>
                <w:lang w:val="en-US" w:eastAsia="zh-CN" w:bidi="ar-SA"/>
              </w:rPr>
            </w:pPr>
            <w:r>
              <w:rPr>
                <w:rFonts w:hint="eastAsia" w:ascii="宋体" w:hAnsi="宋体" w:eastAsia="宋体"/>
                <w:sz w:val="24"/>
                <w:szCs w:val="24"/>
                <w:lang w:val="en-US" w:eastAsia="zh-CN"/>
              </w:rPr>
              <w:t>17</w:t>
            </w:r>
          </w:p>
        </w:tc>
        <w:tc>
          <w:tcPr>
            <w:tcW w:w="2267" w:type="dxa"/>
            <w:tcBorders>
              <w:top w:val="single" w:color="000000" w:sz="4" w:space="0"/>
              <w:left w:val="single" w:color="000000" w:sz="4" w:space="0"/>
              <w:bottom w:val="single" w:color="000000" w:sz="4" w:space="0"/>
              <w:right w:val="single" w:color="000000" w:sz="4" w:space="0"/>
            </w:tcBorders>
            <w:vAlign w:val="center"/>
          </w:tcPr>
          <w:p w14:paraId="0268B03A">
            <w:pPr>
              <w:jc w:val="center"/>
              <w:rPr>
                <w:rFonts w:hint="eastAsia" w:ascii="宋体" w:hAnsi="宋体" w:eastAsia="宋体"/>
                <w:sz w:val="24"/>
                <w:szCs w:val="24"/>
              </w:rPr>
            </w:pPr>
            <w:r>
              <w:rPr>
                <w:rFonts w:hint="eastAsia" w:ascii="宋体" w:hAnsi="宋体" w:eastAsia="宋体"/>
                <w:sz w:val="24"/>
                <w:szCs w:val="24"/>
              </w:rPr>
              <w:t>具身智能数据采集与实战课程</w:t>
            </w:r>
          </w:p>
        </w:tc>
        <w:tc>
          <w:tcPr>
            <w:tcW w:w="5808" w:type="dxa"/>
            <w:tcBorders>
              <w:top w:val="single" w:color="000000" w:sz="4" w:space="0"/>
              <w:left w:val="single" w:color="000000" w:sz="4" w:space="0"/>
              <w:bottom w:val="single" w:color="000000" w:sz="4" w:space="0"/>
              <w:right w:val="single" w:color="000000" w:sz="4" w:space="0"/>
            </w:tcBorders>
            <w:vAlign w:val="center"/>
          </w:tcPr>
          <w:p w14:paraId="1D2EED0B">
            <w:pPr>
              <w:jc w:val="left"/>
              <w:rPr>
                <w:sz w:val="24"/>
                <w:szCs w:val="24"/>
              </w:rPr>
            </w:pPr>
            <w:r>
              <w:rPr>
                <w:rFonts w:hint="eastAsia" w:ascii="宋体" w:hAnsi="宋体" w:eastAsia="宋体"/>
                <w:sz w:val="24"/>
                <w:szCs w:val="24"/>
              </w:rPr>
              <w:t>围绕高寒农业采摘具身智能数据采集全流程，开发配套实战课程资源，涵盖数据采集任务设计、多模态数据采集实操、数据清洗标注等核心实训内容，支撑学生系统掌握具身智能数据采集与实战全链条技能。</w:t>
            </w:r>
          </w:p>
        </w:tc>
        <w:tc>
          <w:tcPr>
            <w:tcW w:w="735" w:type="dxa"/>
            <w:tcBorders>
              <w:top w:val="single" w:color="000000" w:sz="4" w:space="0"/>
              <w:left w:val="single" w:color="000000" w:sz="4" w:space="0"/>
              <w:bottom w:val="single" w:color="000000" w:sz="4" w:space="0"/>
              <w:right w:val="single" w:color="000000" w:sz="4" w:space="0"/>
            </w:tcBorders>
            <w:vAlign w:val="center"/>
          </w:tcPr>
          <w:p w14:paraId="764FD421">
            <w:pPr>
              <w:jc w:val="center"/>
              <w:rPr>
                <w:sz w:val="24"/>
                <w:szCs w:val="24"/>
              </w:rPr>
            </w:pPr>
            <w:r>
              <w:rPr>
                <w:rFonts w:hint="eastAsia" w:ascii="宋体" w:hAnsi="宋体" w:eastAsia="宋体"/>
                <w:sz w:val="24"/>
                <w:szCs w:val="24"/>
              </w:rPr>
              <w:t>1</w:t>
            </w:r>
          </w:p>
        </w:tc>
      </w:tr>
      <w:tr w14:paraId="69F95167">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5F21">
            <w:pPr>
              <w:jc w:val="center"/>
              <w:rPr>
                <w:rFonts w:hint="default" w:ascii="宋体" w:hAnsi="宋体" w:eastAsia="宋体" w:cstheme="minorBidi"/>
                <w:sz w:val="24"/>
                <w:szCs w:val="24"/>
                <w:lang w:val="en-US" w:eastAsia="zh-CN" w:bidi="ar-SA"/>
              </w:rPr>
            </w:pPr>
            <w:r>
              <w:rPr>
                <w:rFonts w:hint="eastAsia" w:ascii="宋体" w:hAnsi="宋体" w:eastAsia="宋体"/>
                <w:sz w:val="24"/>
                <w:szCs w:val="24"/>
                <w:lang w:val="en-US" w:eastAsia="zh-CN"/>
              </w:rPr>
              <w:t>18</w:t>
            </w:r>
          </w:p>
        </w:tc>
        <w:tc>
          <w:tcPr>
            <w:tcW w:w="2267" w:type="dxa"/>
            <w:tcBorders>
              <w:top w:val="single" w:color="000000" w:sz="4" w:space="0"/>
              <w:left w:val="single" w:color="000000" w:sz="4" w:space="0"/>
              <w:bottom w:val="single" w:color="000000" w:sz="4" w:space="0"/>
              <w:right w:val="single" w:color="000000" w:sz="4" w:space="0"/>
            </w:tcBorders>
            <w:vAlign w:val="center"/>
          </w:tcPr>
          <w:p w14:paraId="7935F57A">
            <w:pPr>
              <w:jc w:val="center"/>
              <w:rPr>
                <w:rFonts w:hint="eastAsia" w:ascii="宋体" w:hAnsi="宋体" w:eastAsia="宋体"/>
                <w:sz w:val="24"/>
                <w:szCs w:val="24"/>
              </w:rPr>
            </w:pPr>
            <w:r>
              <w:rPr>
                <w:rFonts w:hint="eastAsia" w:ascii="宋体" w:hAnsi="宋体" w:eastAsia="宋体"/>
                <w:sz w:val="24"/>
                <w:szCs w:val="24"/>
              </w:rPr>
              <w:t>虚拟仿真工作站</w:t>
            </w:r>
          </w:p>
        </w:tc>
        <w:tc>
          <w:tcPr>
            <w:tcW w:w="5808" w:type="dxa"/>
            <w:tcBorders>
              <w:top w:val="single" w:color="000000" w:sz="4" w:space="0"/>
              <w:left w:val="single" w:color="000000" w:sz="4" w:space="0"/>
              <w:bottom w:val="single" w:color="000000" w:sz="4" w:space="0"/>
              <w:right w:val="single" w:color="000000" w:sz="4" w:space="0"/>
            </w:tcBorders>
            <w:vAlign w:val="center"/>
          </w:tcPr>
          <w:p w14:paraId="3846F71C">
            <w:pPr>
              <w:jc w:val="left"/>
              <w:rPr>
                <w:rFonts w:hint="eastAsia" w:ascii="宋体" w:hAnsi="宋体" w:eastAsia="宋体"/>
                <w:sz w:val="24"/>
                <w:szCs w:val="24"/>
              </w:rPr>
            </w:pPr>
            <w:r>
              <w:rPr>
                <w:rFonts w:hint="eastAsia" w:ascii="宋体" w:hAnsi="宋体" w:eastAsia="宋体"/>
                <w:sz w:val="24"/>
                <w:szCs w:val="24"/>
              </w:rPr>
              <w:t>支撑仿真运算、数据处理与实训模拟作业</w:t>
            </w:r>
          </w:p>
        </w:tc>
        <w:tc>
          <w:tcPr>
            <w:tcW w:w="735" w:type="dxa"/>
            <w:tcBorders>
              <w:top w:val="single" w:color="000000" w:sz="4" w:space="0"/>
              <w:left w:val="single" w:color="000000" w:sz="4" w:space="0"/>
              <w:bottom w:val="single" w:color="000000" w:sz="4" w:space="0"/>
              <w:right w:val="single" w:color="000000" w:sz="4" w:space="0"/>
            </w:tcBorders>
            <w:vAlign w:val="center"/>
          </w:tcPr>
          <w:p w14:paraId="1021B9F7">
            <w:pPr>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1</w:t>
            </w:r>
          </w:p>
        </w:tc>
      </w:tr>
      <w:tr w14:paraId="778009BC">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422D">
            <w:pPr>
              <w:jc w:val="center"/>
              <w:rPr>
                <w:rFonts w:hint="default" w:ascii="宋体" w:hAnsi="宋体" w:eastAsia="宋体" w:cstheme="minorBidi"/>
                <w:sz w:val="24"/>
                <w:szCs w:val="24"/>
                <w:lang w:val="en-US" w:eastAsia="zh-CN" w:bidi="ar-SA"/>
              </w:rPr>
            </w:pPr>
            <w:r>
              <w:rPr>
                <w:rFonts w:hint="eastAsia" w:ascii="宋体" w:hAnsi="宋体" w:eastAsia="宋体"/>
                <w:sz w:val="24"/>
                <w:szCs w:val="24"/>
                <w:lang w:val="en-US" w:eastAsia="zh-CN"/>
              </w:rPr>
              <w:t>19</w:t>
            </w:r>
          </w:p>
        </w:tc>
        <w:tc>
          <w:tcPr>
            <w:tcW w:w="2267" w:type="dxa"/>
            <w:tcBorders>
              <w:top w:val="single" w:color="000000" w:sz="4" w:space="0"/>
              <w:left w:val="single" w:color="000000" w:sz="4" w:space="0"/>
              <w:bottom w:val="single" w:color="000000" w:sz="4" w:space="0"/>
              <w:right w:val="single" w:color="000000" w:sz="4" w:space="0"/>
            </w:tcBorders>
            <w:vAlign w:val="center"/>
          </w:tcPr>
          <w:p w14:paraId="317D98D0">
            <w:pPr>
              <w:jc w:val="center"/>
              <w:rPr>
                <w:rFonts w:hint="eastAsia" w:ascii="宋体" w:hAnsi="宋体" w:eastAsia="宋体"/>
                <w:sz w:val="24"/>
                <w:szCs w:val="24"/>
              </w:rPr>
            </w:pPr>
            <w:r>
              <w:rPr>
                <w:rFonts w:hint="eastAsia" w:ascii="宋体" w:hAnsi="宋体" w:eastAsia="宋体"/>
                <w:sz w:val="24"/>
                <w:szCs w:val="24"/>
              </w:rPr>
              <w:t>移动显示屏</w:t>
            </w:r>
          </w:p>
        </w:tc>
        <w:tc>
          <w:tcPr>
            <w:tcW w:w="5808" w:type="dxa"/>
            <w:tcBorders>
              <w:top w:val="single" w:color="000000" w:sz="4" w:space="0"/>
              <w:left w:val="single" w:color="000000" w:sz="4" w:space="0"/>
              <w:bottom w:val="single" w:color="000000" w:sz="4" w:space="0"/>
              <w:right w:val="single" w:color="000000" w:sz="4" w:space="0"/>
            </w:tcBorders>
            <w:vAlign w:val="center"/>
          </w:tcPr>
          <w:p w14:paraId="036FBB6A">
            <w:pPr>
              <w:jc w:val="left"/>
              <w:rPr>
                <w:rFonts w:hint="eastAsia" w:ascii="宋体" w:hAnsi="宋体" w:eastAsia="宋体"/>
                <w:sz w:val="24"/>
                <w:szCs w:val="24"/>
              </w:rPr>
            </w:pPr>
            <w:r>
              <w:rPr>
                <w:rFonts w:hint="eastAsia" w:ascii="宋体" w:hAnsi="宋体" w:eastAsia="宋体"/>
                <w:sz w:val="24"/>
                <w:szCs w:val="24"/>
              </w:rPr>
              <w:t>满足现场演示、教学展示及成果交互使用</w:t>
            </w:r>
          </w:p>
        </w:tc>
        <w:tc>
          <w:tcPr>
            <w:tcW w:w="735" w:type="dxa"/>
            <w:tcBorders>
              <w:top w:val="single" w:color="000000" w:sz="4" w:space="0"/>
              <w:left w:val="single" w:color="000000" w:sz="4" w:space="0"/>
              <w:bottom w:val="single" w:color="000000" w:sz="4" w:space="0"/>
              <w:right w:val="single" w:color="000000" w:sz="4" w:space="0"/>
            </w:tcBorders>
            <w:vAlign w:val="center"/>
          </w:tcPr>
          <w:p w14:paraId="4756A8A9">
            <w:pPr>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2</w:t>
            </w:r>
          </w:p>
        </w:tc>
      </w:tr>
      <w:tr w14:paraId="516F8670">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E3E9">
            <w:pPr>
              <w:jc w:val="center"/>
              <w:rPr>
                <w:rFonts w:hint="default" w:ascii="宋体" w:hAnsi="宋体" w:eastAsia="宋体" w:cstheme="minorBidi"/>
                <w:sz w:val="24"/>
                <w:szCs w:val="24"/>
                <w:lang w:val="en-US" w:eastAsia="zh-CN" w:bidi="ar-SA"/>
              </w:rPr>
            </w:pPr>
            <w:r>
              <w:rPr>
                <w:rFonts w:hint="eastAsia" w:ascii="宋体" w:hAnsi="宋体" w:eastAsia="宋体"/>
                <w:sz w:val="24"/>
                <w:szCs w:val="24"/>
                <w:lang w:val="en-US" w:eastAsia="zh-CN"/>
              </w:rPr>
              <w:t>20</w:t>
            </w:r>
          </w:p>
        </w:tc>
        <w:tc>
          <w:tcPr>
            <w:tcW w:w="2267" w:type="dxa"/>
            <w:tcBorders>
              <w:top w:val="single" w:color="000000" w:sz="4" w:space="0"/>
              <w:left w:val="single" w:color="000000" w:sz="4" w:space="0"/>
              <w:bottom w:val="single" w:color="000000" w:sz="4" w:space="0"/>
              <w:right w:val="single" w:color="000000" w:sz="4" w:space="0"/>
            </w:tcBorders>
            <w:vAlign w:val="center"/>
          </w:tcPr>
          <w:p w14:paraId="239ED90B">
            <w:pPr>
              <w:jc w:val="center"/>
              <w:rPr>
                <w:rFonts w:hint="eastAsia" w:ascii="宋体" w:hAnsi="宋体" w:eastAsia="宋体"/>
                <w:sz w:val="24"/>
                <w:szCs w:val="24"/>
              </w:rPr>
            </w:pPr>
            <w:r>
              <w:rPr>
                <w:rFonts w:hint="eastAsia" w:ascii="宋体" w:hAnsi="宋体" w:eastAsia="宋体"/>
                <w:sz w:val="24"/>
                <w:szCs w:val="24"/>
              </w:rPr>
              <w:t>数采场景搭建</w:t>
            </w:r>
          </w:p>
        </w:tc>
        <w:tc>
          <w:tcPr>
            <w:tcW w:w="5808" w:type="dxa"/>
            <w:tcBorders>
              <w:top w:val="single" w:color="000000" w:sz="4" w:space="0"/>
              <w:left w:val="single" w:color="000000" w:sz="4" w:space="0"/>
              <w:bottom w:val="single" w:color="000000" w:sz="4" w:space="0"/>
              <w:right w:val="single" w:color="000000" w:sz="4" w:space="0"/>
            </w:tcBorders>
            <w:vAlign w:val="center"/>
          </w:tcPr>
          <w:p w14:paraId="2E6FEC9F">
            <w:pPr>
              <w:jc w:val="left"/>
              <w:rPr>
                <w:rFonts w:hint="eastAsia" w:ascii="宋体" w:hAnsi="宋体" w:eastAsia="宋体"/>
                <w:sz w:val="24"/>
                <w:szCs w:val="24"/>
              </w:rPr>
            </w:pPr>
            <w:r>
              <w:rPr>
                <w:rFonts w:hint="eastAsia" w:ascii="宋体" w:hAnsi="宋体" w:eastAsia="宋体"/>
                <w:sz w:val="24"/>
                <w:szCs w:val="24"/>
              </w:rPr>
              <w:t>扩展不同实操实训环境</w:t>
            </w:r>
          </w:p>
        </w:tc>
        <w:tc>
          <w:tcPr>
            <w:tcW w:w="735" w:type="dxa"/>
            <w:tcBorders>
              <w:top w:val="single" w:color="000000" w:sz="4" w:space="0"/>
              <w:left w:val="single" w:color="000000" w:sz="4" w:space="0"/>
              <w:bottom w:val="single" w:color="000000" w:sz="4" w:space="0"/>
              <w:right w:val="single" w:color="000000" w:sz="4" w:space="0"/>
            </w:tcBorders>
            <w:vAlign w:val="center"/>
          </w:tcPr>
          <w:p w14:paraId="21CC40ED">
            <w:pPr>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3</w:t>
            </w:r>
          </w:p>
        </w:tc>
      </w:tr>
      <w:tr w14:paraId="47DDBFCE">
        <w:tblPrEx>
          <w:tblCellMar>
            <w:top w:w="0" w:type="dxa"/>
            <w:left w:w="108" w:type="dxa"/>
            <w:bottom w:w="0" w:type="dxa"/>
            <w:right w:w="108" w:type="dxa"/>
          </w:tblCellMar>
        </w:tblPrEx>
        <w:trPr>
          <w:trHeight w:val="115" w:hRule="atLeast"/>
          <w:jc w:val="center"/>
        </w:trPr>
        <w:tc>
          <w:tcPr>
            <w:tcW w:w="703" w:type="dxa"/>
            <w:tcBorders>
              <w:top w:val="single" w:color="000000" w:sz="4" w:space="0"/>
              <w:left w:val="single" w:color="000000" w:sz="4" w:space="0"/>
              <w:bottom w:val="single" w:color="000000" w:sz="4" w:space="0"/>
              <w:right w:val="single" w:color="000000" w:sz="4" w:space="0"/>
            </w:tcBorders>
            <w:vAlign w:val="center"/>
          </w:tcPr>
          <w:p w14:paraId="2242A682">
            <w:pPr>
              <w:jc w:val="center"/>
              <w:rPr>
                <w:rFonts w:hint="default" w:ascii="宋体" w:hAnsi="宋体" w:eastAsia="宋体"/>
                <w:sz w:val="24"/>
                <w:szCs w:val="24"/>
                <w:lang w:val="en-US" w:eastAsia="zh-CN"/>
              </w:rPr>
            </w:pPr>
            <w:r>
              <w:rPr>
                <w:rFonts w:hint="eastAsia" w:ascii="宋体" w:hAnsi="宋体" w:eastAsia="宋体"/>
                <w:sz w:val="24"/>
                <w:szCs w:val="24"/>
                <w:lang w:val="en-US" w:eastAsia="zh-CN"/>
              </w:rPr>
              <w:t>21</w:t>
            </w:r>
          </w:p>
        </w:tc>
        <w:tc>
          <w:tcPr>
            <w:tcW w:w="2267" w:type="dxa"/>
            <w:tcBorders>
              <w:top w:val="single" w:color="000000" w:sz="4" w:space="0"/>
              <w:left w:val="single" w:color="000000" w:sz="4" w:space="0"/>
              <w:bottom w:val="single" w:color="000000" w:sz="4" w:space="0"/>
              <w:right w:val="single" w:color="000000" w:sz="4" w:space="0"/>
            </w:tcBorders>
            <w:vAlign w:val="center"/>
          </w:tcPr>
          <w:p w14:paraId="5FAAAA5A">
            <w:pPr>
              <w:jc w:val="center"/>
              <w:rPr>
                <w:rFonts w:hint="eastAsia" w:ascii="宋体" w:hAnsi="宋体" w:eastAsia="宋体"/>
                <w:sz w:val="24"/>
                <w:szCs w:val="24"/>
              </w:rPr>
            </w:pPr>
            <w:r>
              <w:rPr>
                <w:rFonts w:hint="eastAsia" w:ascii="宋体" w:hAnsi="宋体" w:eastAsia="宋体"/>
                <w:sz w:val="24"/>
                <w:szCs w:val="24"/>
              </w:rPr>
              <w:t>实验室装修</w:t>
            </w:r>
          </w:p>
        </w:tc>
        <w:tc>
          <w:tcPr>
            <w:tcW w:w="5808" w:type="dxa"/>
            <w:tcBorders>
              <w:top w:val="single" w:color="000000" w:sz="4" w:space="0"/>
              <w:left w:val="single" w:color="000000" w:sz="4" w:space="0"/>
              <w:bottom w:val="single" w:color="000000" w:sz="4" w:space="0"/>
              <w:right w:val="single" w:color="000000" w:sz="4" w:space="0"/>
            </w:tcBorders>
            <w:vAlign w:val="center"/>
          </w:tcPr>
          <w:p w14:paraId="73BAE4B2">
            <w:pPr>
              <w:jc w:val="left"/>
              <w:rPr>
                <w:rFonts w:hint="eastAsia" w:ascii="宋体" w:hAnsi="宋体" w:eastAsia="宋体"/>
                <w:sz w:val="24"/>
                <w:szCs w:val="24"/>
              </w:rPr>
            </w:pPr>
            <w:r>
              <w:rPr>
                <w:rFonts w:hint="eastAsia" w:ascii="宋体" w:hAnsi="宋体" w:eastAsia="宋体"/>
                <w:sz w:val="24"/>
                <w:szCs w:val="24"/>
              </w:rPr>
              <w:t>优化空间布局、管线排布与环境条件，完善场地基础配套</w:t>
            </w:r>
          </w:p>
        </w:tc>
        <w:tc>
          <w:tcPr>
            <w:tcW w:w="735" w:type="dxa"/>
            <w:tcBorders>
              <w:top w:val="single" w:color="000000" w:sz="4" w:space="0"/>
              <w:left w:val="single" w:color="000000" w:sz="4" w:space="0"/>
              <w:bottom w:val="single" w:color="000000" w:sz="4" w:space="0"/>
              <w:right w:val="single" w:color="000000" w:sz="4" w:space="0"/>
            </w:tcBorders>
            <w:vAlign w:val="center"/>
          </w:tcPr>
          <w:p w14:paraId="015E1EA1">
            <w:pPr>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1</w:t>
            </w:r>
          </w:p>
        </w:tc>
      </w:tr>
    </w:tbl>
    <w:p w14:paraId="7D78A7B7">
      <w:pPr>
        <w:spacing w:line="560" w:lineRule="exact"/>
        <w:ind w:firstLine="640"/>
        <w:jc w:val="left"/>
      </w:pPr>
      <w:r>
        <w:rPr>
          <w:rFonts w:hint="eastAsia" w:ascii="黑体" w:hAnsi="黑体" w:eastAsia="黑体"/>
          <w:sz w:val="32"/>
          <w:szCs w:val="32"/>
        </w:rPr>
        <w:t>四、项目对省级</w:t>
      </w:r>
      <w:r>
        <w:rPr>
          <w:rFonts w:hint="eastAsia" w:ascii="黑体" w:hAnsi="黑体" w:eastAsia="黑体"/>
          <w:sz w:val="32"/>
          <w:szCs w:val="32"/>
          <w:lang w:eastAsia="zh-CN"/>
        </w:rPr>
        <w:t>“双高”</w:t>
      </w:r>
      <w:r>
        <w:rPr>
          <w:rFonts w:hint="eastAsia" w:ascii="黑体" w:hAnsi="黑体" w:eastAsia="黑体"/>
          <w:sz w:val="32"/>
          <w:szCs w:val="32"/>
        </w:rPr>
        <w:t>专业群建设的支撑作用</w:t>
      </w:r>
    </w:p>
    <w:p w14:paraId="00F6061F">
      <w:pPr>
        <w:spacing w:line="560" w:lineRule="exact"/>
        <w:ind w:firstLine="640"/>
        <w:jc w:val="left"/>
      </w:pPr>
      <w:r>
        <w:rPr>
          <w:rFonts w:hint="eastAsia" w:ascii="楷体" w:hAnsi="楷体" w:eastAsia="楷体"/>
          <w:sz w:val="32"/>
          <w:szCs w:val="32"/>
        </w:rPr>
        <w:t>（一）提升社会需求匹配度，精准对接高寒农业产业人才缺口</w:t>
      </w:r>
    </w:p>
    <w:p w14:paraId="5D32EF17">
      <w:pPr>
        <w:spacing w:line="560" w:lineRule="exact"/>
        <w:ind w:firstLine="640"/>
        <w:jc w:val="left"/>
      </w:pPr>
      <w:r>
        <w:rPr>
          <w:rFonts w:hint="eastAsia" w:ascii="仿宋_GB2312" w:hAnsi="仿宋_GB2312" w:eastAsia="仿宋_GB2312"/>
          <w:sz w:val="32"/>
          <w:szCs w:val="32"/>
          <w:lang w:eastAsia="zh-CN"/>
        </w:rPr>
        <w:t>“双高计划”</w:t>
      </w:r>
      <w:r>
        <w:rPr>
          <w:rFonts w:hint="eastAsia" w:ascii="仿宋_GB2312" w:hAnsi="仿宋_GB2312" w:eastAsia="仿宋_GB2312"/>
          <w:sz w:val="32"/>
          <w:szCs w:val="32"/>
        </w:rPr>
        <w:t>要求专业群建设对接国家战略与地方重点产业发展，建立需求导向的可持续发展机制。本项目立足黑龙江省高寒农业特色，聚焦采摘作业复杂、环境适应性不足等产业痛点，搭建适配高寒农业场景的具身智能全流程教学实训云平台，精准对接区域农业智能化转型对</w:t>
      </w:r>
      <w:r>
        <w:rPr>
          <w:rFonts w:hint="eastAsia" w:ascii="仿宋_GB2312" w:hAnsi="仿宋_GB2312" w:eastAsia="仿宋_GB2312"/>
          <w:sz w:val="32"/>
          <w:szCs w:val="32"/>
          <w:lang w:eastAsia="zh-CN"/>
        </w:rPr>
        <w:t>“懂高寒、懂农业、懂智能、懂操作”</w:t>
      </w:r>
      <w:r>
        <w:rPr>
          <w:rFonts w:hint="eastAsia" w:ascii="仿宋_GB2312" w:hAnsi="仿宋_GB2312" w:eastAsia="仿宋_GB2312"/>
          <w:sz w:val="32"/>
          <w:szCs w:val="32"/>
        </w:rPr>
        <w:t>复合型技术技能人才的迫切需求。平台建成后，可梳理高寒农业核心企业的高技能岗位和工种，准确定位专业群人才培养目标规格，增强人才培养的针对性与产业适配度，支撑专业群</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社会需求匹配度</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评价维度达标。</w:t>
      </w:r>
    </w:p>
    <w:p w14:paraId="5BF65D3B">
      <w:pPr>
        <w:spacing w:line="560" w:lineRule="exact"/>
        <w:ind w:firstLine="640"/>
        <w:jc w:val="left"/>
      </w:pPr>
      <w:r>
        <w:rPr>
          <w:rFonts w:hint="eastAsia" w:ascii="楷体" w:hAnsi="楷体" w:eastAsia="楷体"/>
          <w:sz w:val="32"/>
          <w:szCs w:val="32"/>
        </w:rPr>
        <w:t>（二）强化条件基础支撑度，打造高水平产教融合实训基地</w:t>
      </w:r>
    </w:p>
    <w:p w14:paraId="255A98FE">
      <w:pPr>
        <w:spacing w:line="560" w:lineRule="exact"/>
        <w:ind w:firstLine="640"/>
        <w:jc w:val="left"/>
      </w:pPr>
      <w:r>
        <w:rPr>
          <w:rFonts w:hint="eastAsia" w:ascii="仿宋_GB2312" w:hAnsi="宋体" w:eastAsia="仿宋_GB2312" w:cs="仿宋_GB2312"/>
          <w:sz w:val="32"/>
          <w:szCs w:val="32"/>
          <w:lang w:bidi="ar"/>
        </w:rPr>
        <w:t>高水平专业群建设</w:t>
      </w:r>
      <w:r>
        <w:rPr>
          <w:rFonts w:hint="eastAsia" w:ascii="仿宋_GB2312" w:hAnsi="仿宋_GB2312" w:eastAsia="仿宋_GB2312"/>
          <w:sz w:val="32"/>
          <w:szCs w:val="32"/>
        </w:rPr>
        <w:t>要求建设场景真实、设施先进、工位充足的实践教学基地。本项目部署十四大功能模块平台及高寒农业采摘数据采集场景，覆盖数据采集、模型训练、评测部署、场景运维全实训链路，补齐专业群前沿智能实训硬件短板，满足智慧农业技术与装备、人工智能技术应用、大数据技术专业的实践教学需求。平台可同时支撑多工位实训教学，工位充足、设施先进、场景真实，直接对标</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双高</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建设中产教融合实训基地的建设标准。</w:t>
      </w:r>
    </w:p>
    <w:p w14:paraId="0B2ECA57">
      <w:pPr>
        <w:spacing w:line="560" w:lineRule="exact"/>
        <w:ind w:firstLine="640"/>
        <w:jc w:val="left"/>
      </w:pPr>
      <w:r>
        <w:rPr>
          <w:rFonts w:hint="eastAsia" w:ascii="楷体" w:hAnsi="楷体" w:eastAsia="楷体"/>
          <w:sz w:val="32"/>
          <w:szCs w:val="32"/>
        </w:rPr>
        <w:t>（三）支撑一流核心课程建设与数字化教学新生态构建</w:t>
      </w:r>
    </w:p>
    <w:p w14:paraId="19198018">
      <w:pPr>
        <w:spacing w:line="560" w:lineRule="exact"/>
        <w:ind w:firstLine="640"/>
        <w:jc w:val="left"/>
      </w:pPr>
      <w:r>
        <w:rPr>
          <w:rFonts w:hint="eastAsia" w:ascii="仿宋_GB2312" w:hAnsi="仿宋_GB2312" w:eastAsia="仿宋_GB2312"/>
          <w:sz w:val="32"/>
          <w:szCs w:val="32"/>
          <w:lang w:eastAsia="zh-CN"/>
        </w:rPr>
        <w:t>“双高”</w:t>
      </w:r>
      <w:r>
        <w:rPr>
          <w:rFonts w:hint="eastAsia" w:ascii="仿宋_GB2312" w:hAnsi="仿宋_GB2312" w:eastAsia="仿宋_GB2312"/>
          <w:sz w:val="32"/>
          <w:szCs w:val="32"/>
        </w:rPr>
        <w:t>建设明确要求打造匹配需求的金专业、金课程、金教材、金教师、金基地，系统推进教学关键要素改革。本项目平台支持教师低代码完成采摘模型训练、参数调优与迭代优化，内置场景化提示词模板库与可视化工作流编排工具，为开发《高寒农业具身智能数据采集实操》等新课程提供完整技术底座。依托平台可构建</w:t>
      </w:r>
      <w:r>
        <w:rPr>
          <w:rFonts w:hint="eastAsia" w:ascii="仿宋_GB2312" w:hAnsi="仿宋_GB2312" w:eastAsia="仿宋_GB2312"/>
          <w:sz w:val="32"/>
          <w:szCs w:val="32"/>
          <w:lang w:eastAsia="zh-CN"/>
        </w:rPr>
        <w:t>“数据采集-模型训练-评测部署-场景应用”</w:t>
      </w:r>
      <w:r>
        <w:rPr>
          <w:rFonts w:hint="eastAsia" w:ascii="仿宋_GB2312" w:hAnsi="仿宋_GB2312" w:eastAsia="仿宋_GB2312"/>
          <w:sz w:val="32"/>
          <w:szCs w:val="32"/>
        </w:rPr>
        <w:t>全链条数字化实训体系，完善</w:t>
      </w:r>
      <w:r>
        <w:rPr>
          <w:rFonts w:hint="eastAsia" w:ascii="仿宋_GB2312" w:hAnsi="仿宋_GB2312" w:eastAsia="仿宋_GB2312"/>
          <w:sz w:val="32"/>
          <w:szCs w:val="32"/>
          <w:lang w:eastAsia="zh-CN"/>
        </w:rPr>
        <w:t>“岗课赛证”</w:t>
      </w:r>
      <w:r>
        <w:rPr>
          <w:rFonts w:hint="eastAsia" w:ascii="仿宋_GB2312" w:hAnsi="仿宋_GB2312" w:eastAsia="仿宋_GB2312"/>
          <w:sz w:val="32"/>
          <w:szCs w:val="32"/>
        </w:rPr>
        <w:t>一体化教学内容，支撑专业群在</w:t>
      </w:r>
      <w:r>
        <w:rPr>
          <w:rFonts w:hint="eastAsia" w:ascii="仿宋_GB2312" w:hAnsi="仿宋_GB2312" w:eastAsia="仿宋_GB2312"/>
          <w:sz w:val="32"/>
          <w:szCs w:val="32"/>
          <w:lang w:eastAsia="zh-CN"/>
        </w:rPr>
        <w:t>“五金”</w:t>
      </w:r>
      <w:r>
        <w:rPr>
          <w:rFonts w:hint="eastAsia" w:ascii="仿宋_GB2312" w:hAnsi="仿宋_GB2312" w:eastAsia="仿宋_GB2312"/>
          <w:sz w:val="32"/>
          <w:szCs w:val="32"/>
        </w:rPr>
        <w:t>建设任务中产出标志性成果。</w:t>
      </w:r>
    </w:p>
    <w:p w14:paraId="4ADC7020">
      <w:pPr>
        <w:spacing w:line="560" w:lineRule="exact"/>
        <w:ind w:firstLine="640"/>
        <w:jc w:val="left"/>
      </w:pPr>
      <w:r>
        <w:rPr>
          <w:rFonts w:hint="eastAsia" w:ascii="楷体" w:hAnsi="楷体" w:eastAsia="楷体"/>
          <w:sz w:val="32"/>
          <w:szCs w:val="32"/>
        </w:rPr>
        <w:t>（四）增强社会服务能力与成果成效贡献度</w:t>
      </w:r>
    </w:p>
    <w:p w14:paraId="4F41AE04">
      <w:pPr>
        <w:spacing w:line="560" w:lineRule="exact"/>
        <w:ind w:firstLine="640"/>
        <w:jc w:val="left"/>
      </w:pPr>
      <w:r>
        <w:rPr>
          <w:rFonts w:hint="eastAsia" w:ascii="仿宋_GB2312" w:hAnsi="仿宋_GB2312" w:eastAsia="仿宋_GB2312"/>
          <w:sz w:val="32"/>
          <w:szCs w:val="32"/>
          <w:lang w:eastAsia="zh-CN"/>
        </w:rPr>
        <w:t>“成果成效的贡献度”</w:t>
      </w:r>
      <w:r>
        <w:rPr>
          <w:rFonts w:hint="eastAsia" w:ascii="仿宋_GB2312" w:hAnsi="仿宋_GB2312" w:eastAsia="仿宋_GB2312"/>
          <w:sz w:val="32"/>
          <w:szCs w:val="32"/>
        </w:rPr>
        <w:t>与</w:t>
      </w:r>
      <w:r>
        <w:rPr>
          <w:rFonts w:hint="eastAsia" w:ascii="仿宋_GB2312" w:hAnsi="仿宋_GB2312" w:eastAsia="仿宋_GB2312"/>
          <w:sz w:val="32"/>
          <w:szCs w:val="32"/>
          <w:lang w:eastAsia="zh-CN"/>
        </w:rPr>
        <w:t>“增强社会服务能力”</w:t>
      </w:r>
      <w:r>
        <w:rPr>
          <w:rFonts w:hint="eastAsia" w:ascii="仿宋_GB2312" w:hAnsi="仿宋_GB2312" w:eastAsia="仿宋_GB2312"/>
          <w:sz w:val="32"/>
          <w:szCs w:val="32"/>
        </w:rPr>
        <w:t>是</w:t>
      </w:r>
      <w:r>
        <w:rPr>
          <w:rFonts w:hint="eastAsia" w:ascii="仿宋_GB2312" w:hAnsi="仿宋_GB2312" w:eastAsia="仿宋_GB2312"/>
          <w:sz w:val="32"/>
          <w:szCs w:val="32"/>
          <w:lang w:eastAsia="zh-CN"/>
        </w:rPr>
        <w:t>“双高”</w:t>
      </w:r>
      <w:r>
        <w:rPr>
          <w:rFonts w:hint="eastAsia" w:ascii="仿宋_GB2312" w:hAnsi="仿宋_GB2312" w:eastAsia="仿宋_GB2312"/>
          <w:sz w:val="32"/>
          <w:szCs w:val="32"/>
        </w:rPr>
        <w:t>建设的重要考核板块。本项目平台可长期面向黑龙江及周边基层农技人员、农业企业技术员开展具身智能实操培训，每年开展面向高寒地区特色农业企业关于具身智能培训，培训人数不少于100人，形成稳定社会服务案例。同时，平台能够自主采集高寒果蔬采摘专属数据集，支撑教师完成智能采摘、机器人作业相关课题研究，产出论文、专利等科研成果；可供学生参与农业机器人、智慧数据采集类职业技能竞赛，增加竞赛获奖与创新创业项目储备。多维度成果产出有效支撑相关考核的评价维度达标。</w:t>
      </w:r>
    </w:p>
    <w:p w14:paraId="267B7D65">
      <w:pPr>
        <w:spacing w:line="560" w:lineRule="exact"/>
        <w:ind w:firstLine="640"/>
        <w:jc w:val="left"/>
      </w:pPr>
      <w:r>
        <w:rPr>
          <w:rFonts w:hint="eastAsia" w:ascii="楷体" w:hAnsi="楷体" w:eastAsia="楷体"/>
          <w:sz w:val="32"/>
          <w:szCs w:val="32"/>
        </w:rPr>
        <w:t>（五）深化产教融合机制创新与可持续运行保障</w:t>
      </w:r>
    </w:p>
    <w:p w14:paraId="25E8E25F">
      <w:pPr>
        <w:spacing w:line="560" w:lineRule="exact"/>
        <w:ind w:firstLine="640"/>
        <w:jc w:val="left"/>
      </w:pPr>
      <w:r>
        <w:rPr>
          <w:rFonts w:hint="eastAsia" w:ascii="仿宋_GB2312" w:hAnsi="宋体" w:eastAsia="仿宋_GB2312" w:cs="仿宋_GB2312"/>
          <w:sz w:val="32"/>
          <w:szCs w:val="32"/>
          <w:lang w:bidi="ar"/>
        </w:rPr>
        <w:t>“双高”建设</w:t>
      </w:r>
      <w:r>
        <w:rPr>
          <w:rFonts w:hint="eastAsia" w:ascii="仿宋_GB2312" w:hAnsi="仿宋_GB2312" w:eastAsia="仿宋_GB2312"/>
          <w:sz w:val="32"/>
          <w:szCs w:val="32"/>
        </w:rPr>
        <w:t>要求专业群建立稳定的校企合作机制与可持续运行制度。本项目依托中华职业教育社职业指导中心与北京航空航天大学人工智能联合实验室资源，可与农业智能装备企业建立深度合作关系，由企业提供设备、技术支持与真实项目，学院提供场地、师资与学生资源，共同开展课程开发、科研攻关、成果转化与人才培养工作，保障项目长效稳定运行，支撑专业群在产教融合机制创新与实训管理标准化方面的建设任务落地。</w:t>
      </w:r>
    </w:p>
    <w:p w14:paraId="18501065">
      <w:pPr>
        <w:spacing w:line="560" w:lineRule="exact"/>
        <w:ind w:firstLine="640"/>
        <w:jc w:val="left"/>
      </w:pPr>
      <w:r>
        <w:rPr>
          <w:rFonts w:hint="eastAsia" w:ascii="黑体" w:hAnsi="黑体" w:eastAsia="黑体"/>
          <w:sz w:val="32"/>
          <w:szCs w:val="32"/>
        </w:rPr>
        <w:t>五、项目实施阶段安排</w:t>
      </w:r>
    </w:p>
    <w:p w14:paraId="0304AD92">
      <w:pPr>
        <w:spacing w:line="560" w:lineRule="exact"/>
        <w:ind w:firstLine="640"/>
        <w:jc w:val="left"/>
      </w:pPr>
      <w:r>
        <w:rPr>
          <w:rFonts w:hint="eastAsia" w:ascii="仿宋_GB2312" w:hAnsi="仿宋_GB2312" w:eastAsia="仿宋_GB2312"/>
          <w:sz w:val="32"/>
          <w:szCs w:val="32"/>
        </w:rPr>
        <w:t>1.前期筹备阶段：细化各模块技术参数，对接合作企业，完善资金使用方案，梳理实训场地改造需求；</w:t>
      </w:r>
    </w:p>
    <w:p w14:paraId="2C479D84">
      <w:pPr>
        <w:spacing w:line="560" w:lineRule="exact"/>
        <w:ind w:firstLine="640"/>
        <w:jc w:val="left"/>
      </w:pPr>
      <w:r>
        <w:rPr>
          <w:rFonts w:hint="eastAsia" w:ascii="仿宋_GB2312" w:hAnsi="仿宋_GB2312" w:eastAsia="仿宋_GB2312"/>
          <w:sz w:val="32"/>
          <w:szCs w:val="32"/>
        </w:rPr>
        <w:t>2.设备招标采购阶段：完成全部平台软件及配套设备招标流程，同步开展实训场地点位、供电线路基础改造；</w:t>
      </w:r>
    </w:p>
    <w:p w14:paraId="60905021">
      <w:pPr>
        <w:spacing w:line="560" w:lineRule="exact"/>
        <w:ind w:firstLine="640"/>
        <w:jc w:val="left"/>
      </w:pPr>
      <w:r>
        <w:rPr>
          <w:rFonts w:hint="eastAsia" w:ascii="仿宋_GB2312" w:hAnsi="仿宋_GB2312" w:eastAsia="仿宋_GB2312"/>
          <w:sz w:val="32"/>
          <w:szCs w:val="32"/>
        </w:rPr>
        <w:t>3.平台部署与场景搭建阶段：完成十四大功能模块平台部署、高寒农业采摘数据采集场景搭建、系统联调校准；</w:t>
      </w:r>
    </w:p>
    <w:p w14:paraId="177825B8">
      <w:pPr>
        <w:spacing w:line="560" w:lineRule="exact"/>
        <w:ind w:firstLine="640"/>
        <w:jc w:val="left"/>
      </w:pPr>
      <w:r>
        <w:rPr>
          <w:rFonts w:hint="eastAsia" w:ascii="仿宋_GB2312" w:hAnsi="仿宋_GB2312" w:eastAsia="仿宋_GB2312"/>
          <w:sz w:val="32"/>
          <w:szCs w:val="32"/>
        </w:rPr>
        <w:t>4.试运行与正式投用阶段：组织专业教师先期实操培训，开发配套实战课程资源，开展小规模学生实训试运行，完成校内验收后，全面面向日常教学、教师科研、社会技能培训开放使用。</w:t>
      </w:r>
    </w:p>
    <w:p w14:paraId="04588F4A">
      <w:pPr>
        <w:spacing w:line="560" w:lineRule="exact"/>
        <w:ind w:firstLine="640"/>
        <w:jc w:val="left"/>
      </w:pPr>
      <w:r>
        <w:rPr>
          <w:rFonts w:hint="eastAsia" w:ascii="黑体" w:hAnsi="黑体" w:eastAsia="黑体"/>
          <w:sz w:val="32"/>
          <w:szCs w:val="32"/>
        </w:rPr>
        <w:t>六、方案总结</w:t>
      </w:r>
    </w:p>
    <w:p w14:paraId="30920F40">
      <w:pPr>
        <w:spacing w:line="560" w:lineRule="exact"/>
        <w:ind w:firstLine="640"/>
        <w:jc w:val="left"/>
      </w:pPr>
      <w:r>
        <w:rPr>
          <w:rFonts w:hint="eastAsia" w:ascii="仿宋_GB2312" w:hAnsi="仿宋_GB2312" w:eastAsia="仿宋_GB2312"/>
          <w:sz w:val="32"/>
          <w:szCs w:val="32"/>
        </w:rPr>
        <w:t>本项目围绕高寒农业采摘具身智能数据采集与模型训练搭建成套实训云平台。项目建成后，从专业数字化课程改革、产教融合落地、科研竞赛成果积累、区域农业技术服务、实训标准化管理五个方面，全方位支撑我校省级</w:t>
      </w:r>
      <w:r>
        <w:rPr>
          <w:rFonts w:hint="eastAsia" w:ascii="仿宋_GB2312" w:hAnsi="仿宋_GB2312" w:eastAsia="仿宋_GB2312"/>
          <w:sz w:val="32"/>
          <w:szCs w:val="32"/>
          <w:lang w:eastAsia="zh-CN"/>
        </w:rPr>
        <w:t>“双高”</w:t>
      </w:r>
      <w:r>
        <w:rPr>
          <w:rFonts w:hint="eastAsia" w:ascii="仿宋_GB2312" w:hAnsi="仿宋_GB2312" w:eastAsia="仿宋_GB2312"/>
          <w:sz w:val="32"/>
          <w:szCs w:val="32"/>
        </w:rPr>
        <w:t>智慧农业专业群各项建设任务落地。</w:t>
      </w:r>
    </w:p>
    <w:p w14:paraId="0D589B6D">
      <w:pPr>
        <w:spacing w:line="560" w:lineRule="exact"/>
      </w:pPr>
    </w:p>
    <w:p w14:paraId="14A21B92">
      <w:pPr>
        <w:spacing w:line="560" w:lineRule="exact"/>
        <w:ind w:firstLine="4480"/>
        <w:jc w:val="left"/>
      </w:pPr>
      <w:r>
        <w:rPr>
          <w:rFonts w:hint="eastAsia" w:ascii="仿宋_GB2312" w:hAnsi="仿宋_GB2312" w:eastAsia="仿宋_GB2312"/>
          <w:sz w:val="32"/>
          <w:szCs w:val="32"/>
        </w:rPr>
        <w:t>黑龙江农业职业技术学院</w:t>
      </w:r>
    </w:p>
    <w:p w14:paraId="06236213">
      <w:pPr>
        <w:spacing w:line="560" w:lineRule="exact"/>
        <w:ind w:firstLine="5440"/>
        <w:jc w:val="left"/>
      </w:pPr>
      <w:r>
        <w:rPr>
          <w:rFonts w:hint="eastAsia" w:ascii="仿宋_GB2312" w:hAnsi="仿宋_GB2312" w:eastAsia="仿宋_GB2312"/>
          <w:sz w:val="32"/>
          <w:szCs w:val="32"/>
        </w:rPr>
        <w:t>信息工程系</w:t>
      </w:r>
    </w:p>
    <w:p w14:paraId="691D240B">
      <w:pPr>
        <w:spacing w:line="560" w:lineRule="exact"/>
        <w:ind w:firstLine="5120"/>
        <w:jc w:val="left"/>
      </w:pPr>
      <w:r>
        <w:rPr>
          <w:rFonts w:hint="eastAsia" w:ascii="仿宋_GB2312" w:hAnsi="仿宋_GB2312" w:eastAsia="仿宋_GB2312"/>
          <w:sz w:val="32"/>
          <w:szCs w:val="32"/>
        </w:rPr>
        <w:t>2026年</w:t>
      </w:r>
      <w:r>
        <w:rPr>
          <w:rFonts w:hint="eastAsia" w:ascii="仿宋_GB2312" w:hAnsi="仿宋_GB2312" w:eastAsia="仿宋_GB2312"/>
          <w:sz w:val="32"/>
          <w:szCs w:val="32"/>
          <w:lang w:val="en-US" w:eastAsia="zh-CN"/>
        </w:rPr>
        <w:t>8</w:t>
      </w:r>
      <w:r>
        <w:rPr>
          <w:rFonts w:hint="eastAsia" w:ascii="仿宋_GB2312" w:hAnsi="仿宋_GB2312" w:eastAsia="仿宋_GB2312"/>
          <w:sz w:val="32"/>
          <w:szCs w:val="32"/>
        </w:rPr>
        <w:t>月</w:t>
      </w:r>
      <w:r>
        <w:rPr>
          <w:rFonts w:hint="eastAsia" w:ascii="仿宋_GB2312" w:hAnsi="仿宋_GB2312" w:eastAsia="仿宋_GB2312"/>
          <w:sz w:val="32"/>
          <w:szCs w:val="32"/>
          <w:lang w:val="en-US" w:eastAsia="zh-CN"/>
        </w:rPr>
        <w:t>20</w:t>
      </w:r>
      <w:r>
        <w:rPr>
          <w:rFonts w:hint="eastAsia" w:ascii="仿宋_GB2312" w:hAnsi="仿宋_GB2312" w:eastAsia="仿宋_GB2312"/>
          <w:sz w:val="32"/>
          <w:szCs w:val="32"/>
        </w:rPr>
        <w:t>日</w:t>
      </w:r>
    </w:p>
    <w:sectPr>
      <w:pgSz w:w="11905" w:h="16840"/>
      <w:pgMar w:top="1440" w:right="1803" w:bottom="1440" w:left="180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FC6374-1FD8-4DC6-AD81-B3F8272EF2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3F2B6DA-2AC1-4CEA-91C5-5E3EF2B473A6}"/>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A4F87FCE-DAAE-4027-8B40-1DA78E11D80B}"/>
  </w:font>
  <w:font w:name="楷体">
    <w:panose1 w:val="02010609060101010101"/>
    <w:charset w:val="86"/>
    <w:family w:val="modern"/>
    <w:pitch w:val="default"/>
    <w:sig w:usb0="800002BF" w:usb1="38CF7CFA" w:usb2="00000016" w:usb3="00000000" w:csb0="00040001" w:csb1="00000000"/>
    <w:embedRegular r:id="rId4" w:fontKey="{1E649638-A385-4668-9A29-20678286A89E}"/>
  </w:font>
  <w:font w:name="仿宋_GB2312">
    <w:panose1 w:val="02010609030101010101"/>
    <w:charset w:val="86"/>
    <w:family w:val="auto"/>
    <w:pitch w:val="default"/>
    <w:sig w:usb0="00000001" w:usb1="080E0000" w:usb2="00000000" w:usb3="00000000" w:csb0="00040000" w:csb1="00000000"/>
    <w:embedRegular r:id="rId5" w:fontKey="{2CD57219-8CE4-41E4-83F2-3081FBDEC45B}"/>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123"/>
    <w:rsid w:val="00006ABB"/>
    <w:rsid w:val="00192C35"/>
    <w:rsid w:val="008520F3"/>
    <w:rsid w:val="00934123"/>
    <w:rsid w:val="00A4043E"/>
    <w:rsid w:val="06F032D1"/>
    <w:rsid w:val="0DE243F0"/>
    <w:rsid w:val="100967EC"/>
    <w:rsid w:val="15D54711"/>
    <w:rsid w:val="17473965"/>
    <w:rsid w:val="1BEC25C7"/>
    <w:rsid w:val="21263E89"/>
    <w:rsid w:val="22B1460E"/>
    <w:rsid w:val="22B26EF4"/>
    <w:rsid w:val="2EA002D9"/>
    <w:rsid w:val="319420BE"/>
    <w:rsid w:val="31AE6147"/>
    <w:rsid w:val="3D324146"/>
    <w:rsid w:val="3F3917BB"/>
    <w:rsid w:val="3F9549D3"/>
    <w:rsid w:val="42242413"/>
    <w:rsid w:val="43AA2739"/>
    <w:rsid w:val="45B37990"/>
    <w:rsid w:val="462A437C"/>
    <w:rsid w:val="486D73A7"/>
    <w:rsid w:val="4D1C2D32"/>
    <w:rsid w:val="541B642B"/>
    <w:rsid w:val="54A551A5"/>
    <w:rsid w:val="54B10847"/>
    <w:rsid w:val="55ED7701"/>
    <w:rsid w:val="568F188F"/>
    <w:rsid w:val="571A4344"/>
    <w:rsid w:val="573C40E7"/>
    <w:rsid w:val="57FB18AC"/>
    <w:rsid w:val="5B4D241F"/>
    <w:rsid w:val="5C9A5B38"/>
    <w:rsid w:val="5E96714C"/>
    <w:rsid w:val="5EC425A4"/>
    <w:rsid w:val="5FB4143A"/>
    <w:rsid w:val="63424B75"/>
    <w:rsid w:val="64557F17"/>
    <w:rsid w:val="647933CC"/>
    <w:rsid w:val="64B147AF"/>
    <w:rsid w:val="65AC621A"/>
    <w:rsid w:val="69A753F0"/>
    <w:rsid w:val="70293003"/>
    <w:rsid w:val="71805343"/>
    <w:rsid w:val="75D44E5F"/>
    <w:rsid w:val="78EC6043"/>
    <w:rsid w:val="7C144B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4"/>
    <w:basedOn w:val="1"/>
    <w:next w:val="1"/>
    <w:link w:val="7"/>
    <w:semiHidden/>
    <w:unhideWhenUsed/>
    <w:qFormat/>
    <w:uiPriority w:val="0"/>
    <w:pPr>
      <w:keepNext/>
      <w:keepLines/>
      <w:spacing w:before="280" w:after="290" w:line="372" w:lineRule="auto"/>
      <w:outlineLvl w:val="3"/>
    </w:pPr>
    <w:rPr>
      <w:rFonts w:ascii="Arial" w:hAnsi="Arial" w:eastAsia="黑体"/>
      <w:b/>
      <w:sz w:val="2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tabs>
        <w:tab w:val="center" w:pos="4153"/>
        <w:tab w:val="right" w:pos="8306"/>
      </w:tabs>
      <w:snapToGrid w:val="0"/>
      <w:jc w:val="center"/>
    </w:pPr>
    <w:rPr>
      <w:sz w:val="18"/>
      <w:szCs w:val="18"/>
    </w:rPr>
  </w:style>
  <w:style w:type="character" w:customStyle="1" w:styleId="7">
    <w:name w:val="标题 4 字符"/>
    <w:basedOn w:val="6"/>
    <w:link w:val="2"/>
    <w:qFormat/>
    <w:uiPriority w:val="0"/>
    <w:rPr>
      <w:rFonts w:ascii="等线" w:hAnsi="等线" w:eastAsia="等线" w:cs="Times New Roman"/>
      <w:color w:val="2F5496"/>
      <w:sz w:val="28"/>
      <w:szCs w:val="28"/>
    </w:rPr>
  </w:style>
  <w:style w:type="character" w:customStyle="1" w:styleId="8">
    <w:name w:val="页眉 字符"/>
    <w:basedOn w:val="6"/>
    <w:link w:val="4"/>
    <w:qFormat/>
    <w:uiPriority w:val="0"/>
    <w:rPr>
      <w:rFonts w:asciiTheme="minorHAnsi" w:hAnsiTheme="minorHAnsi" w:eastAsiaTheme="minorEastAsia" w:cstheme="minorBidi"/>
      <w:sz w:val="18"/>
      <w:szCs w:val="18"/>
    </w:rPr>
  </w:style>
  <w:style w:type="character" w:customStyle="1" w:styleId="9">
    <w:name w:val="页脚 字符"/>
    <w:basedOn w:val="6"/>
    <w:link w:val="3"/>
    <w:qFormat/>
    <w:uiPriority w:val="0"/>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4b2e898f-abf9-4e11-8403-c48cc3b99e93</errorID>
      <errorWord>"双高"</errorWord>
      <group>L1_Punc</group>
      <groupName>标点问题</groupName>
      <ability>L2_Punc_CN</ability>
      <abilityName>标点符号问题</abilityName>
      <candidateList>
        <item>“双高”</item>
      </candidateList>
      <explain/>
      <paraID> F51CD3B</paraID>
      <start>17</start>
      <end>21</end>
      <status>modified</status>
      <modifiedWord>“双高”</modifiedWord>
      <trackRevisions>false</trackRevisions>
    </reviewItem>
    <reviewItem>
      <errorID>8b90b931-181f-45c2-949e-4961a9463c08</errorID>
      <errorWord>"</errorWord>
      <group>L1_Format</group>
      <groupName>格式问题</groupName>
      <ability>L2_HalfPunc_CN</ability>
      <abilityName>全半角问题</abilityName>
      <candidateList>
        <item>“</item>
      </candidateList>
      <explain>文本全半角错误。</explain>
      <paraID>33D42F67</paraID>
      <start>3</start>
      <end>4</end>
      <status>modified</status>
      <modifiedWord>“</modifiedWord>
      <trackRevisions>false</trackRevisions>
    </reviewItem>
    <reviewItem>
      <errorID>f3e6bb55-3b03-417b-8eb0-17af4878f37d</errorID>
      <errorWord>"</errorWord>
      <group>L1_Format</group>
      <groupName>格式问题</groupName>
      <ability>L2_HalfPunc_CN</ability>
      <abilityName>全半角问题</abilityName>
      <candidateList>
        <item>”</item>
      </candidateList>
      <explain>文本全半角错误。</explain>
      <paraID>33D42F67</paraID>
      <start>8</start>
      <end>9</end>
      <status>modified</status>
      <modifiedWord>”</modifiedWord>
      <trackRevisions>false</trackRevisions>
    </reviewItem>
    <reviewItem>
      <errorID>cd45dbd9-75bc-4fc7-babf-5e961491bfc8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57E7FB6C</paraID>
      <start>20</start>
      <end>21</end>
      <status>modified</status>
      <modifiedWord>—</modifiedWord>
      <trackRevisions>false</trackRevisions>
    </reviewItem>
    <reviewItem>
      <errorID>c7491de8-a333-49db-8b77-4201325847b1</errorID>
      <errorWord>》</errorWord>
      <group>L1_Punc</group>
      <groupName>标点问题</groupName>
      <ability>L2_Punc_CN</ability>
      <abilityName>标点符号问题</abilityName>
      <candidateList>
        <item>》；</item>
      </candidateList>
      <explain/>
      <paraID>77CC0234</paraID>
      <start>33</start>
      <end>35</end>
      <status>modified</status>
      <modifiedWord>》；</modifiedWord>
      <trackRevisions>false</trackRevisions>
    </reviewItem>
    <reviewItem>
      <errorID>240858b5-5676-457e-a4f0-c2848ba9e787</errorID>
      <errorWord>"双高计划"</errorWord>
      <group>L1_Punc</group>
      <groupName>标点问题</groupName>
      <ability>L2_Punc_CN</ability>
      <abilityName>标点符号问题</abilityName>
      <candidateList>
        <item>“双高计划”</item>
      </candidateList>
      <explain/>
      <paraID>2904AA97</paraID>
      <start>9</start>
      <end>15</end>
      <status>modified</status>
      <modifiedWord>“双高计划”</modifiedWord>
      <trackRevisions>false</trackRevisions>
    </reviewItem>
    <reviewItem>
      <errorID>3061a9bf-7778-4824-aa62-83b3668fac80</errorID>
      <errorWord>"</errorWord>
      <group>L1_Format</group>
      <groupName>格式问题</groupName>
      <ability>L2_HalfPunc_CN</ability>
      <abilityName>全半角问题</abilityName>
      <candidateList>
        <item>“</item>
      </candidateList>
      <explain>文本全半角错误。</explain>
      <paraID>512C7523</paraID>
      <start>73</start>
      <end>74</end>
      <status>modified</status>
      <modifiedWord>“</modifiedWord>
      <trackRevisions>false</trackRevisions>
    </reviewItem>
    <reviewItem>
      <errorID>34f8a4c0-33c7-4b37-85c8-6de4afbeb882</errorID>
      <errorWord>-</errorWord>
      <group>L1_Format</group>
      <groupName>格式问题</groupName>
      <ability>L2_HalfPunc_CN</ability>
      <abilityName>全半角问题</abilityName>
      <candidateList>
        <item>－</item>
      </candidateList>
      <explain>文本全半角错误。</explain>
      <paraID>512C7523</paraID>
      <start>78</start>
      <end>79</end>
      <status>modified</status>
      <modifiedWord>－</modifiedWord>
      <trackRevisions>false</trackRevisions>
    </reviewItem>
    <reviewItem>
      <errorID>675f2ee9-9ead-4ca7-8030-cef842fd4c02</errorID>
      <errorWord>-</errorWord>
      <group>L1_Format</group>
      <groupName>格式问题</groupName>
      <ability>L2_HalfPunc_CN</ability>
      <abilityName>全半角问题</abilityName>
      <candidateList>
        <item>－</item>
      </candidateList>
      <explain>文本全半角错误。</explain>
      <paraID>512C7523</paraID>
      <start>83</start>
      <end>84</end>
      <status>modified</status>
      <modifiedWord>－</modifiedWord>
      <trackRevisions>false</trackRevisions>
    </reviewItem>
    <reviewItem>
      <errorID>622ddd13-9576-4c89-a4b3-d3ab755be3b8</errorID>
      <errorWord>-</errorWord>
      <group>L1_Format</group>
      <groupName>格式问题</groupName>
      <ability>L2_HalfPunc_CN</ability>
      <abilityName>全半角问题</abilityName>
      <candidateList>
        <item>－</item>
      </candidateList>
      <explain>文本全半角错误。</explain>
      <paraID>512C7523</paraID>
      <start>88</start>
      <end>89</end>
      <status>modified</status>
      <modifiedWord>－</modifiedWord>
      <trackRevisions>false</trackRevisions>
    </reviewItem>
    <reviewItem>
      <errorID>5d18f334-d99f-47e3-8144-dbde7a103b67</errorID>
      <errorWord>"</errorWord>
      <group>L1_Format</group>
      <groupName>格式问题</groupName>
      <ability>L2_HalfPunc_CN</ability>
      <abilityName>全半角问题</abilityName>
      <candidateList>
        <item>”</item>
      </candidateList>
      <explain>文本全半角错误。</explain>
      <paraID>512C7523</paraID>
      <start>93</start>
      <end>94</end>
      <status>modified</status>
      <modifiedWord>”</modifiedWord>
      <trackRevisions>false</trackRevisions>
    </reviewItem>
    <reviewItem>
      <errorID>9b6c7779-0180-402b-99cf-5773a80a5d69</errorID>
      <errorWord> </errorWord>
      <group>L1_Punc</group>
      <groupName>标点问题</groupName>
      <ability>L2_Punc_CN</ability>
      <abilityName>标点符号问题</abilityName>
      <candidateList>
        <item>，</item>
      </candidateList>
      <explain/>
      <paraID>2F99D3BC</paraID>
      <start>60</start>
      <end>61</end>
      <status>modified</status>
      <modifiedWord>，</modifiedWord>
      <trackRevisions>false</trackRevisions>
    </reviewItem>
    <reviewItem>
      <errorID>1339ea88-3d14-4d35-b1bf-e82e9260f72d</errorID>
      <errorWord>数</errorWord>
      <group>L1_Word</group>
      <groupName>字词问题</groupName>
      <ability>L2_Typo</ability>
      <abilityName>字词错误</abilityName>
      <candidateList>
        <item>数据</item>
      </candidateList>
      <explain/>
      <paraID>406E49FF</paraID>
      <start>60</start>
      <end>62</end>
      <status>modified</status>
      <modifiedWord>数据</modifiedWord>
      <trackRevisions>false</trackRevisions>
    </reviewItem>
    <reviewItem>
      <errorID>4709c358-19a5-44bc-87f2-23d2667b5d4c</errorID>
      <errorWord>农</errorWord>
      <group>L1_Word</group>
      <groupName>字词问题</groupName>
      <ability>L2_Typo</ability>
      <abilityName>字词错误</abilityName>
      <candidateList>
        <item>农业</item>
      </candidateList>
      <explain/>
      <paraID>70461DAE</paraID>
      <start>73</start>
      <end>75</end>
      <status>modified</status>
      <modifiedWord>农业</modifiedWord>
      <trackRevisions>false</trackRevisions>
    </reviewItem>
    <reviewItem>
      <errorID>27869fd2-59f2-4b5a-a8a2-6dd135c55e47</errorID>
      <errorWord>教师则</errorWord>
      <group>L1_Word</group>
      <groupName>字词问题</groupName>
      <ability>L2_Typo</ability>
      <abilityName>字词错误</abilityName>
      <candidateList>
        <item>教师</item>
      </candidateList>
      <explain/>
      <paraID>70461DAE</paraID>
      <start>149</start>
      <end>151</end>
      <status>modified</status>
      <modifiedWord>教师</modifiedWord>
      <trackRevisions>false</trackRevisions>
    </reviewItem>
    <reviewItem>
      <errorID>118c92b6-f285-4d8d-966b-7efed022c6da</errorID>
      <errorWord>与</errorWord>
      <group>L1_Word</group>
      <groupName>字词问题</groupName>
      <ability>L2_Typo</ability>
      <abilityName>字词错误</abilityName>
      <candidateList>
        <item>于</item>
      </candidateList>
      <explain/>
      <paraID>7BB4EA58</paraID>
      <start>45</start>
      <end>46</end>
      <status>modified</status>
      <modifiedWord>于</modifiedWord>
      <trackRevisions>false</trackRevisions>
    </reviewItem>
    <reviewItem>
      <errorID>6fcce36f-d801-45b0-919b-47038c8db96a</errorID>
      <errorWord>异常情</errorWord>
      <group>L1_Word</group>
      <groupName>字词问题</groupName>
      <ability>L2_Typo</ability>
      <abilityName>字词错误</abilityName>
      <candidateList>
        <item>异常情况</item>
      </candidateList>
      <explain/>
      <paraID>1CD6C614</paraID>
      <start>112</start>
      <end>116</end>
      <status>modified</status>
      <modifiedWord>异常情况</modifiedWord>
      <trackRevisions>false</trackRevisions>
    </reviewItem>
    <reviewItem>
      <errorID>8d5ad813-29bd-4509-82fd-33838a9498f0</errorID>
      <errorWord>"双高"</errorWord>
      <group>L1_Punc</group>
      <groupName>标点问题</groupName>
      <ability>L2_Punc_CN</ability>
      <abilityName>标点符号问题</abilityName>
      <candidateList>
        <item>“双高”</item>
      </candidateList>
      <explain/>
      <paraID>7D78A7B7</paraID>
      <start>7</start>
      <end>11</end>
      <status>modified</status>
      <modifiedWord>“双高”</modifiedWord>
      <trackRevisions>false</trackRevisions>
    </reviewItem>
    <reviewItem>
      <errorID>f9b9a45f-c99f-491d-9c30-129bd027af8c</errorID>
      <errorWord>"双高计划"</errorWord>
      <group>L1_Political</group>
      <groupName>政治性问题</groupName>
      <ability>L2_Keyword</ability>
      <abilityName>固定表述</abilityName>
      <candidateList>
        <item>“双高计划”</item>
      </candidateList>
      <explain>注意检查当前固定表述标点是否使用规范。</explain>
      <paraID>5D32EF17</paraID>
      <start>0</start>
      <end>6</end>
      <status>modified</status>
      <modifiedWord>“双高计划”</modifiedWord>
      <trackRevisions>false</trackRevisions>
    </reviewItem>
    <reviewItem>
      <errorID>1d547db7-884b-4985-a6d0-431b18c30ae9</errorID>
      <errorWord>"懂高寒、懂农业、懂智能、懂操作"</errorWord>
      <group>L1_Punc</group>
      <groupName>标点问题</groupName>
      <ability>L2_Punc_CN</ability>
      <abilityName>标点符号问题</abilityName>
      <candidateList>
        <item>“懂高寒、懂农业、懂智能、懂操作”</item>
      </candidateList>
      <explain/>
      <paraID>5D32EF17</paraID>
      <start>122</start>
      <end>139</end>
      <status>modified</status>
      <modifiedWord>“懂高寒、懂农业、懂智能、懂操作”</modifiedWord>
      <trackRevisions>false</trackRevisions>
    </reviewItem>
    <reviewItem>
      <errorID>4be826c4-4926-4771-b5d3-fb8903002ece</errorID>
      <errorWord>"</errorWord>
      <group>L1_Format</group>
      <groupName>格式问题</groupName>
      <ability>L2_HalfPunc_CN</ability>
      <abilityName>全半角问题</abilityName>
      <candidateList>
        <item>“</item>
      </candidateList>
      <explain>文本全半角错误。</explain>
      <paraID>5D32EF17</paraID>
      <start>219</start>
      <end>220</end>
      <status>modified</status>
      <modifiedWord>“</modifiedWord>
      <trackRevisions>false</trackRevisions>
    </reviewItem>
    <reviewItem>
      <errorID>6cb6ec61-52e6-4ca4-950b-8ff20ad0edaa</errorID>
      <errorWord>"</errorWord>
      <group>L1_Format</group>
      <groupName>格式问题</groupName>
      <ability>L2_HalfPunc_CN</ability>
      <abilityName>全半角问题</abilityName>
      <candidateList>
        <item>”</item>
      </candidateList>
      <explain>文本全半角错误。</explain>
      <paraID>5D32EF17</paraID>
      <start>227</start>
      <end>228</end>
      <status>modified</status>
      <modifiedWord>”</modifiedWord>
      <trackRevisions>false</trackRevisions>
    </reviewItem>
    <reviewItem>
      <errorID>b80ef53b-7ec9-403f-a3b3-5335743c14c1</errorID>
      <errorWord>"</errorWord>
      <group>L1_Format</group>
      <groupName>格式问题</groupName>
      <ability>L2_HalfPunc_CN</ability>
      <abilityName>全半角问题</abilityName>
      <candidateList>
        <item>“</item>
      </candidateList>
      <explain>文本全半角错误。</explain>
      <paraID>255A98FE</paraID>
      <start>175</start>
      <end>176</end>
      <status>modified</status>
      <modifiedWord>“</modifiedWord>
      <trackRevisions>false</trackRevisions>
    </reviewItem>
    <reviewItem>
      <errorID>eef12d6b-9051-44c2-9ccb-e3d145b436b0</errorID>
      <errorWord>"</errorWord>
      <group>L1_Format</group>
      <groupName>格式问题</groupName>
      <ability>L2_HalfPunc_CN</ability>
      <abilityName>全半角问题</abilityName>
      <candidateList>
        <item>”</item>
      </candidateList>
      <explain>文本全半角错误。</explain>
      <paraID>255A98FE</paraID>
      <start>178</start>
      <end>179</end>
      <status>modified</status>
      <modifiedWord>”</modifiedWord>
      <trackRevisions>false</trackRevisions>
    </reviewItem>
    <reviewItem>
      <errorID>1fb0e800-650a-4aa5-881b-5de07c3c49bb</errorID>
      <errorWord>"双高"</errorWord>
      <group>L1_Punc</group>
      <groupName>标点问题</groupName>
      <ability>L2_Punc_CN</ability>
      <abilityName>标点符号问题</abilityName>
      <candidateList>
        <item>“双高”</item>
      </candidateList>
      <explain/>
      <paraID>19198018</paraID>
      <start>0</start>
      <end>4</end>
      <status>modified</status>
      <modifiedWord>“双高”</modifiedWord>
      <trackRevisions>false</trackRevisions>
    </reviewItem>
    <reviewItem>
      <errorID>5fe032a4-e7b7-4efe-95af-07480782c8ea</errorID>
      <errorWord>"数据采集-模型训练-评测部署-场景应用"</errorWord>
      <group>L1_Punc</group>
      <groupName>标点问题</groupName>
      <ability>L2_Punc_CN</ability>
      <abilityName>标点符号问题</abilityName>
      <candidateList>
        <item>“数据采集-模型训练-评测部署-场景应用”</item>
      </candidateList>
      <explain/>
      <paraID>19198018</paraID>
      <start>143</start>
      <end>164</end>
      <status>modified</status>
      <modifiedWord>“数据采集-模型训练-评测部署-场景应用”</modifiedWord>
      <trackRevisions>false</trackRevisions>
    </reviewItem>
    <reviewItem>
      <errorID>a65298c5-293b-4a34-ad87-4cc739e7e4a1</errorID>
      <errorWord>"岗课赛证"</errorWord>
      <group>L1_Punc</group>
      <groupName>标点问题</groupName>
      <ability>L2_Punc_CN</ability>
      <abilityName>标点符号问题</abilityName>
      <candidateList>
        <item>“岗课赛证”</item>
      </candidateList>
      <explain/>
      <paraID>19198018</paraID>
      <start>177</start>
      <end>183</end>
      <status>modified</status>
      <modifiedWord>“岗课赛证”</modifiedWord>
      <trackRevisions>false</trackRevisions>
    </reviewItem>
    <reviewItem>
      <errorID>0ea2d053-d193-4caa-a2d6-19d2c56b8218</errorID>
      <errorWord>"五金"</errorWord>
      <group>L1_Punc</group>
      <groupName>标点问题</groupName>
      <ability>L2_Punc_CN</ability>
      <abilityName>标点符号问题</abilityName>
      <candidateList>
        <item>“五金”</item>
      </candidateList>
      <explain/>
      <paraID>19198018</paraID>
      <start>197</start>
      <end>201</end>
      <status>modified</status>
      <modifiedWord>“五金”</modifiedWord>
      <trackRevisions>false</trackRevisions>
    </reviewItem>
    <reviewItem>
      <errorID>1bc56ee6-b0d2-412f-b724-086e8bc08ad1</errorID>
      <errorWord>"成果成效的贡献度"</errorWord>
      <group>L1_Punc</group>
      <groupName>标点问题</groupName>
      <ability>L2_Punc_CN</ability>
      <abilityName>标点符号问题</abilityName>
      <candidateList>
        <item>“成果成效的贡献度”</item>
      </candidateList>
      <explain/>
      <paraID>4F41AE04</paraID>
      <start>0</start>
      <end>10</end>
      <status>modified</status>
      <modifiedWord>“成果成效的贡献度”</modifiedWord>
      <trackRevisions>false</trackRevisions>
    </reviewItem>
    <reviewItem>
      <errorID>b302eb24-44da-4984-9388-c74f8c6e2bfd</errorID>
      <errorWord>"增强社会服务能力"</errorWord>
      <group>L1_Punc</group>
      <groupName>标点问题</groupName>
      <ability>L2_Punc_CN</ability>
      <abilityName>标点符号问题</abilityName>
      <candidateList>
        <item>“增强社会服务能力”</item>
      </candidateList>
      <explain/>
      <paraID>4F41AE04</paraID>
      <start>11</start>
      <end>21</end>
      <status>modified</status>
      <modifiedWord>“增强社会服务能力”</modifiedWord>
      <trackRevisions>false</trackRevisions>
    </reviewItem>
    <reviewItem>
      <errorID>94f66d90-9de4-40fe-ae0d-83525076f4c5</errorID>
      <errorWord>"双高"</errorWord>
      <group>L1_Punc</group>
      <groupName>标点问题</groupName>
      <ability>L2_Punc_CN</ability>
      <abilityName>标点符号问题</abilityName>
      <candidateList>
        <item>“双高”</item>
      </candidateList>
      <explain/>
      <paraID>4F41AE04</paraID>
      <start>22</start>
      <end>26</end>
      <status>modified</status>
      <modifiedWord>“双高”</modifiedWord>
      <trackRevisions>false</trackRevisions>
    </reviewItem>
    <reviewItem>
      <errorID>9010f054-e15e-4c25-b6b9-b81cebcb6080</errorID>
      <errorWord>"双高"</errorWord>
      <group>L1_Punc</group>
      <groupName>标点问题</groupName>
      <ability>L2_Punc_CN</ability>
      <abilityName>标点符号问题</abilityName>
      <candidateList>
        <item>“双高”</item>
      </candidateList>
      <explain/>
      <paraID>30920F40</paraID>
      <start>97</start>
      <end>101</end>
      <status>modified</status>
      <modifiedWord>“双高”</modifiedWord>
      <trackRevisions>false</trackRevisions>
    </reviewItem>
  </reviewItems>
  <config/>
</contractReview>
</file>

<file path=customXml/itemProps1.xml><?xml version="1.0" encoding="utf-8"?>
<ds:datastoreItem xmlns:ds="http://schemas.openxmlformats.org/officeDocument/2006/customXml" ds:itemID="{c125865a-71f9-433a-86ec-9e34050358b6}">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7503</Words>
  <Characters>7589</Characters>
  <Lines>52</Lines>
  <Paragraphs>14</Paragraphs>
  <TotalTime>15</TotalTime>
  <ScaleCrop>false</ScaleCrop>
  <LinksUpToDate>false</LinksUpToDate>
  <CharactersWithSpaces>7599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2026-07-20T05:58:00Z</dcterms:created>
  <dc:creator>Apache POI</dc:creator>
  <cp:lastModifiedBy>赵可厉害的了呢</cp:lastModifiedBy>
  <dcterms:modified xsi:type="dcterms:W3CDTF">2026-09-22T08:22:44Z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{"Label":"1","ContentProducer":"001191110102MACQD9K64010000","ProduceID":"7664485554570857757","ReservedCode1":"","ContentPropagator":"","PropagateID":"","ReservedCode2":""}</vt:lpwstr>
  </property>
  <property fmtid="{D5CDD505-2E9C-101B-9397-08002B2CF9AE}" pid="3" name="KSOTemplateDocerSaveRecord">
    <vt:lpwstr>eyJoZGlkIjoiMTMwNTcyYjFiOWM0NzIwNTMzYmQ4ZjI2NGE4ZDE2MTIiLCJ1c2VySWQiOiI0MTUzODU3ODEifQ==</vt:lpwstr>
  </property>
  <property fmtid="{D5CDD505-2E9C-101B-9397-08002B2CF9AE}" pid="4" name="KSOProductBuildVer">
    <vt:lpwstr>2052-12.1.0.28505</vt:lpwstr>
  </property>
  <property fmtid="{D5CDD505-2E9C-101B-9397-08002B2CF9AE}" pid="5" name="ICV">
    <vt:lpwstr>23D872056C98405BA570A2B13919EF6D_13</vt:lpwstr>
  </property>
</Properties>
</file>